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9461" w14:textId="177A7D18" w:rsidR="00AC7E2A" w:rsidRDefault="008649DB" w:rsidP="00BA0EDC">
      <w:pPr>
        <w:pStyle w:val="Heading1"/>
        <w:numPr>
          <w:ilvl w:val="0"/>
          <w:numId w:val="0"/>
        </w:numPr>
        <w:rPr>
          <w:lang w:val="en-GB" w:eastAsia="ja-JP"/>
        </w:rPr>
      </w:pPr>
      <w:bookmarkStart w:id="0" w:name="_Toc389461669"/>
      <w:r>
        <w:rPr>
          <w:lang w:val="en-GB" w:eastAsia="ja-JP"/>
        </w:rPr>
        <w:t>The Mitigation Framework in the 2015 Climate Change Agreement: from Targets to Pathways</w:t>
      </w:r>
      <w:bookmarkEnd w:id="0"/>
      <w:r>
        <w:rPr>
          <w:lang w:val="en-GB" w:eastAsia="ja-JP"/>
        </w:rPr>
        <w:t xml:space="preserve"> </w:t>
      </w:r>
    </w:p>
    <w:p w14:paraId="44FBFA55" w14:textId="77777777" w:rsidR="00873151" w:rsidRDefault="00873151" w:rsidP="0069233E">
      <w:pPr>
        <w:rPr>
          <w:lang w:val="en-GB" w:eastAsia="ja-JP"/>
        </w:rPr>
      </w:pPr>
    </w:p>
    <w:p w14:paraId="2DF010DC" w14:textId="749856E1" w:rsidR="0069233E" w:rsidRDefault="0069233E" w:rsidP="0069233E">
      <w:pPr>
        <w:rPr>
          <w:lang w:val="en-GB" w:eastAsia="ja-JP"/>
        </w:rPr>
      </w:pPr>
      <w:bookmarkStart w:id="1" w:name="_GoBack"/>
      <w:bookmarkEnd w:id="1"/>
      <w:r>
        <w:rPr>
          <w:lang w:val="en-GB" w:eastAsia="ja-JP"/>
        </w:rPr>
        <w:t>Thomas Spencer, I</w:t>
      </w:r>
      <w:r w:rsidR="00E71B9F">
        <w:rPr>
          <w:lang w:val="en-GB" w:eastAsia="ja-JP"/>
        </w:rPr>
        <w:t>nstitute for Sustainable Development and International Relations (I</w:t>
      </w:r>
      <w:r>
        <w:rPr>
          <w:lang w:val="en-GB" w:eastAsia="ja-JP"/>
        </w:rPr>
        <w:t>DDRI</w:t>
      </w:r>
      <w:r w:rsidR="00E71B9F">
        <w:rPr>
          <w:lang w:val="en-GB" w:eastAsia="ja-JP"/>
        </w:rPr>
        <w:t>)</w:t>
      </w:r>
    </w:p>
    <w:p w14:paraId="7D131682" w14:textId="1294FA9E" w:rsidR="0069233E" w:rsidRPr="00BA0EDC" w:rsidRDefault="0069233E" w:rsidP="0069233E">
      <w:pPr>
        <w:rPr>
          <w:lang w:val="en-GB" w:eastAsia="ja-JP"/>
        </w:rPr>
      </w:pPr>
      <w:r w:rsidRPr="00BA0EDC">
        <w:rPr>
          <w:lang w:val="en-GB" w:eastAsia="ja-JP"/>
        </w:rPr>
        <w:t>Z</w:t>
      </w:r>
      <w:r w:rsidR="001D3F15" w:rsidRPr="00BA0EDC">
        <w:rPr>
          <w:lang w:val="en-GB" w:eastAsia="ja-JP"/>
        </w:rPr>
        <w:t>OU</w:t>
      </w:r>
      <w:r w:rsidRPr="00BA0EDC">
        <w:rPr>
          <w:lang w:val="en-GB" w:eastAsia="ja-JP"/>
        </w:rPr>
        <w:t xml:space="preserve"> </w:t>
      </w:r>
      <w:proofErr w:type="spellStart"/>
      <w:r w:rsidRPr="00BA0EDC">
        <w:rPr>
          <w:lang w:val="en-GB" w:eastAsia="ja-JP"/>
        </w:rPr>
        <w:t>Ji</w:t>
      </w:r>
      <w:proofErr w:type="spellEnd"/>
      <w:r w:rsidRPr="00BA0EDC">
        <w:rPr>
          <w:lang w:val="en-GB" w:eastAsia="ja-JP"/>
        </w:rPr>
        <w:t xml:space="preserve">, </w:t>
      </w:r>
      <w:r w:rsidR="00E71B9F" w:rsidRPr="00E71B9F">
        <w:rPr>
          <w:lang w:val="en-GB" w:eastAsia="ja-JP"/>
        </w:rPr>
        <w:t xml:space="preserve">National </w:t>
      </w:r>
      <w:proofErr w:type="spellStart"/>
      <w:r w:rsidR="00E71B9F" w:rsidRPr="00E71B9F">
        <w:rPr>
          <w:lang w:val="en-GB" w:eastAsia="ja-JP"/>
        </w:rPr>
        <w:t>Center</w:t>
      </w:r>
      <w:proofErr w:type="spellEnd"/>
      <w:r w:rsidR="00E71B9F" w:rsidRPr="00E71B9F">
        <w:rPr>
          <w:lang w:val="en-GB" w:eastAsia="ja-JP"/>
        </w:rPr>
        <w:t xml:space="preserve"> for Climate Strategy and International Cooperation of China (NCSC) </w:t>
      </w:r>
      <w:r w:rsidR="001D3F15">
        <w:rPr>
          <w:rStyle w:val="FootnoteReference"/>
          <w:lang w:val="en-GB" w:eastAsia="ja-JP"/>
        </w:rPr>
        <w:footnoteReference w:id="1"/>
      </w:r>
    </w:p>
    <w:p w14:paraId="75FFBAC9" w14:textId="5BF80CD3" w:rsidR="0069233E" w:rsidRPr="00BA0EDC" w:rsidRDefault="0069233E" w:rsidP="0069233E">
      <w:pPr>
        <w:rPr>
          <w:lang w:val="en-GB" w:eastAsia="ja-JP"/>
        </w:rPr>
      </w:pPr>
      <w:r w:rsidRPr="00BA0EDC">
        <w:rPr>
          <w:lang w:val="en-GB" w:eastAsia="ja-JP"/>
        </w:rPr>
        <w:t>F</w:t>
      </w:r>
      <w:r w:rsidR="001D3F15" w:rsidRPr="00BA0EDC">
        <w:rPr>
          <w:lang w:val="en-GB" w:eastAsia="ja-JP"/>
        </w:rPr>
        <w:t>U</w:t>
      </w:r>
      <w:r w:rsidRPr="00BA0EDC">
        <w:rPr>
          <w:lang w:val="en-GB" w:eastAsia="ja-JP"/>
        </w:rPr>
        <w:t xml:space="preserve"> </w:t>
      </w:r>
      <w:proofErr w:type="spellStart"/>
      <w:r w:rsidRPr="00BA0EDC">
        <w:rPr>
          <w:lang w:val="en-GB" w:eastAsia="ja-JP"/>
        </w:rPr>
        <w:t>Sha</w:t>
      </w:r>
      <w:proofErr w:type="spellEnd"/>
      <w:r w:rsidRPr="00BA0EDC">
        <w:rPr>
          <w:lang w:val="en-GB" w:eastAsia="ja-JP"/>
        </w:rPr>
        <w:t xml:space="preserve">, </w:t>
      </w:r>
      <w:r w:rsidR="00E71B9F" w:rsidRPr="00E71B9F">
        <w:rPr>
          <w:lang w:val="en-GB" w:eastAsia="ja-JP"/>
        </w:rPr>
        <w:t xml:space="preserve">National </w:t>
      </w:r>
      <w:proofErr w:type="spellStart"/>
      <w:r w:rsidR="00E71B9F" w:rsidRPr="00E71B9F">
        <w:rPr>
          <w:lang w:val="en-GB" w:eastAsia="ja-JP"/>
        </w:rPr>
        <w:t>Center</w:t>
      </w:r>
      <w:proofErr w:type="spellEnd"/>
      <w:r w:rsidR="00E71B9F" w:rsidRPr="00E71B9F">
        <w:rPr>
          <w:lang w:val="en-GB" w:eastAsia="ja-JP"/>
        </w:rPr>
        <w:t xml:space="preserve"> for Climate Strategy and International Cooperation of China (NCSC) </w:t>
      </w:r>
      <w:r w:rsidR="001D3F15">
        <w:rPr>
          <w:rStyle w:val="FootnoteReference"/>
          <w:lang w:val="en-GB" w:eastAsia="ja-JP"/>
        </w:rPr>
        <w:footnoteReference w:id="2"/>
      </w:r>
    </w:p>
    <w:sdt>
      <w:sdtPr>
        <w:rPr>
          <w:lang w:val="en-GB"/>
        </w:rPr>
        <w:id w:val="75405435"/>
        <w:docPartObj>
          <w:docPartGallery w:val="Table of Contents"/>
          <w:docPartUnique/>
        </w:docPartObj>
      </w:sdtPr>
      <w:sdtEndPr>
        <w:rPr>
          <w:b/>
          <w:bCs/>
          <w:noProof/>
        </w:rPr>
      </w:sdtEndPr>
      <w:sdtContent>
        <w:p w14:paraId="4C211589" w14:textId="77777777" w:rsidR="00B4128F" w:rsidRPr="006E04DF" w:rsidRDefault="00B4128F" w:rsidP="00B4128F">
          <w:pPr>
            <w:rPr>
              <w:lang w:val="en-GB" w:eastAsia="ja-JP"/>
            </w:rPr>
          </w:pPr>
        </w:p>
        <w:p w14:paraId="7AA84EC2" w14:textId="2C440BAD" w:rsidR="00B4128F" w:rsidRPr="006E04DF" w:rsidRDefault="00B4128F" w:rsidP="00FE3489">
          <w:pPr>
            <w:pStyle w:val="TOCHeading"/>
            <w:numPr>
              <w:ilvl w:val="0"/>
              <w:numId w:val="0"/>
            </w:numPr>
            <w:rPr>
              <w:lang w:val="en-GB"/>
            </w:rPr>
          </w:pPr>
          <w:r w:rsidRPr="006E04DF">
            <w:rPr>
              <w:lang w:val="en-GB"/>
            </w:rPr>
            <w:t>Contents</w:t>
          </w:r>
        </w:p>
        <w:p w14:paraId="735AB149" w14:textId="77777777" w:rsidR="000F1C06" w:rsidRDefault="00B4128F">
          <w:pPr>
            <w:pStyle w:val="TOC1"/>
            <w:tabs>
              <w:tab w:val="right" w:leader="dot" w:pos="9016"/>
            </w:tabs>
            <w:rPr>
              <w:noProof/>
              <w:lang w:val="fr-FR" w:eastAsia="fr-FR"/>
            </w:rPr>
          </w:pPr>
          <w:r w:rsidRPr="006E04DF">
            <w:rPr>
              <w:lang w:val="en-GB"/>
            </w:rPr>
            <w:fldChar w:fldCharType="begin"/>
          </w:r>
          <w:r w:rsidRPr="006E04DF">
            <w:rPr>
              <w:lang w:val="en-GB"/>
            </w:rPr>
            <w:instrText xml:space="preserve"> TOC \o "1-3" \h \z \u </w:instrText>
          </w:r>
          <w:r w:rsidRPr="006E04DF">
            <w:rPr>
              <w:lang w:val="en-GB"/>
            </w:rPr>
            <w:fldChar w:fldCharType="separate"/>
          </w:r>
          <w:hyperlink w:anchor="_Toc389461669" w:history="1">
            <w:r w:rsidR="000F1C06" w:rsidRPr="000F4D39">
              <w:rPr>
                <w:rStyle w:val="Hyperlink"/>
                <w:noProof/>
                <w:lang w:val="en-GB" w:eastAsia="ja-JP"/>
              </w:rPr>
              <w:t>The Mitigation Framework in the 2015 Climate Change Agreement: from Targets to Pathways</w:t>
            </w:r>
            <w:r w:rsidR="000F1C06">
              <w:rPr>
                <w:noProof/>
                <w:webHidden/>
              </w:rPr>
              <w:tab/>
            </w:r>
            <w:r w:rsidR="000F1C06">
              <w:rPr>
                <w:noProof/>
                <w:webHidden/>
              </w:rPr>
              <w:fldChar w:fldCharType="begin"/>
            </w:r>
            <w:r w:rsidR="000F1C06">
              <w:rPr>
                <w:noProof/>
                <w:webHidden/>
              </w:rPr>
              <w:instrText xml:space="preserve"> PAGEREF _Toc389461669 \h </w:instrText>
            </w:r>
            <w:r w:rsidR="000F1C06">
              <w:rPr>
                <w:noProof/>
                <w:webHidden/>
              </w:rPr>
            </w:r>
            <w:r w:rsidR="000F1C06">
              <w:rPr>
                <w:noProof/>
                <w:webHidden/>
              </w:rPr>
              <w:fldChar w:fldCharType="separate"/>
            </w:r>
            <w:r w:rsidR="000F1C06">
              <w:rPr>
                <w:noProof/>
                <w:webHidden/>
              </w:rPr>
              <w:t>1</w:t>
            </w:r>
            <w:r w:rsidR="000F1C06">
              <w:rPr>
                <w:noProof/>
                <w:webHidden/>
              </w:rPr>
              <w:fldChar w:fldCharType="end"/>
            </w:r>
          </w:hyperlink>
        </w:p>
        <w:p w14:paraId="7950290A" w14:textId="77777777" w:rsidR="000F1C06" w:rsidRDefault="00932E8B">
          <w:pPr>
            <w:pStyle w:val="TOC1"/>
            <w:tabs>
              <w:tab w:val="right" w:leader="dot" w:pos="9016"/>
            </w:tabs>
            <w:rPr>
              <w:noProof/>
              <w:lang w:val="fr-FR" w:eastAsia="fr-FR"/>
            </w:rPr>
          </w:pPr>
          <w:hyperlink w:anchor="_Toc389461670" w:history="1">
            <w:r w:rsidR="000F1C06" w:rsidRPr="000F4D39">
              <w:rPr>
                <w:rStyle w:val="Hyperlink"/>
                <w:noProof/>
                <w:lang w:val="en-GB"/>
              </w:rPr>
              <w:t>Forward</w:t>
            </w:r>
            <w:r w:rsidR="000F1C06">
              <w:rPr>
                <w:noProof/>
                <w:webHidden/>
              </w:rPr>
              <w:tab/>
            </w:r>
            <w:r w:rsidR="000F1C06">
              <w:rPr>
                <w:noProof/>
                <w:webHidden/>
              </w:rPr>
              <w:fldChar w:fldCharType="begin"/>
            </w:r>
            <w:r w:rsidR="000F1C06">
              <w:rPr>
                <w:noProof/>
                <w:webHidden/>
              </w:rPr>
              <w:instrText xml:space="preserve"> PAGEREF _Toc389461670 \h </w:instrText>
            </w:r>
            <w:r w:rsidR="000F1C06">
              <w:rPr>
                <w:noProof/>
                <w:webHidden/>
              </w:rPr>
            </w:r>
            <w:r w:rsidR="000F1C06">
              <w:rPr>
                <w:noProof/>
                <w:webHidden/>
              </w:rPr>
              <w:fldChar w:fldCharType="separate"/>
            </w:r>
            <w:r w:rsidR="000F1C06">
              <w:rPr>
                <w:noProof/>
                <w:webHidden/>
              </w:rPr>
              <w:t>3</w:t>
            </w:r>
            <w:r w:rsidR="000F1C06">
              <w:rPr>
                <w:noProof/>
                <w:webHidden/>
              </w:rPr>
              <w:fldChar w:fldCharType="end"/>
            </w:r>
          </w:hyperlink>
        </w:p>
        <w:p w14:paraId="134357A7" w14:textId="77777777" w:rsidR="000F1C06" w:rsidRDefault="00932E8B">
          <w:pPr>
            <w:pStyle w:val="TOC1"/>
            <w:tabs>
              <w:tab w:val="right" w:leader="dot" w:pos="9016"/>
            </w:tabs>
            <w:rPr>
              <w:noProof/>
              <w:lang w:val="fr-FR" w:eastAsia="fr-FR"/>
            </w:rPr>
          </w:pPr>
          <w:hyperlink w:anchor="_Toc389461671" w:history="1">
            <w:r w:rsidR="000F1C06" w:rsidRPr="000F4D39">
              <w:rPr>
                <w:rStyle w:val="Hyperlink"/>
                <w:noProof/>
                <w:lang w:val="en-GB"/>
              </w:rPr>
              <w:t>Highlights</w:t>
            </w:r>
            <w:r w:rsidR="000F1C06">
              <w:rPr>
                <w:noProof/>
                <w:webHidden/>
              </w:rPr>
              <w:tab/>
            </w:r>
            <w:r w:rsidR="000F1C06">
              <w:rPr>
                <w:noProof/>
                <w:webHidden/>
              </w:rPr>
              <w:fldChar w:fldCharType="begin"/>
            </w:r>
            <w:r w:rsidR="000F1C06">
              <w:rPr>
                <w:noProof/>
                <w:webHidden/>
              </w:rPr>
              <w:instrText xml:space="preserve"> PAGEREF _Toc389461671 \h </w:instrText>
            </w:r>
            <w:r w:rsidR="000F1C06">
              <w:rPr>
                <w:noProof/>
                <w:webHidden/>
              </w:rPr>
            </w:r>
            <w:r w:rsidR="000F1C06">
              <w:rPr>
                <w:noProof/>
                <w:webHidden/>
              </w:rPr>
              <w:fldChar w:fldCharType="separate"/>
            </w:r>
            <w:r w:rsidR="000F1C06">
              <w:rPr>
                <w:noProof/>
                <w:webHidden/>
              </w:rPr>
              <w:t>4</w:t>
            </w:r>
            <w:r w:rsidR="000F1C06">
              <w:rPr>
                <w:noProof/>
                <w:webHidden/>
              </w:rPr>
              <w:fldChar w:fldCharType="end"/>
            </w:r>
          </w:hyperlink>
        </w:p>
        <w:p w14:paraId="19864E41" w14:textId="77777777" w:rsidR="000F1C06" w:rsidRDefault="00932E8B">
          <w:pPr>
            <w:pStyle w:val="TOC1"/>
            <w:tabs>
              <w:tab w:val="left" w:pos="440"/>
              <w:tab w:val="right" w:leader="dot" w:pos="9016"/>
            </w:tabs>
            <w:rPr>
              <w:noProof/>
              <w:lang w:val="fr-FR" w:eastAsia="fr-FR"/>
            </w:rPr>
          </w:pPr>
          <w:hyperlink w:anchor="_Toc389461672" w:history="1">
            <w:r w:rsidR="000F1C06" w:rsidRPr="000F4D39">
              <w:rPr>
                <w:rStyle w:val="Hyperlink"/>
                <w:noProof/>
                <w:lang w:val="en-GB" w:eastAsia="zh-CN"/>
              </w:rPr>
              <w:t>1</w:t>
            </w:r>
            <w:r w:rsidR="000F1C06">
              <w:rPr>
                <w:noProof/>
                <w:lang w:val="fr-FR" w:eastAsia="fr-FR"/>
              </w:rPr>
              <w:tab/>
            </w:r>
            <w:r w:rsidR="000F1C06" w:rsidRPr="000F4D39">
              <w:rPr>
                <w:rStyle w:val="Hyperlink"/>
                <w:noProof/>
                <w:lang w:val="en-GB"/>
              </w:rPr>
              <w:t>Context and Introduction</w:t>
            </w:r>
            <w:r w:rsidR="000F1C06">
              <w:rPr>
                <w:noProof/>
                <w:webHidden/>
              </w:rPr>
              <w:tab/>
            </w:r>
            <w:r w:rsidR="000F1C06">
              <w:rPr>
                <w:noProof/>
                <w:webHidden/>
              </w:rPr>
              <w:fldChar w:fldCharType="begin"/>
            </w:r>
            <w:r w:rsidR="000F1C06">
              <w:rPr>
                <w:noProof/>
                <w:webHidden/>
              </w:rPr>
              <w:instrText xml:space="preserve"> PAGEREF _Toc389461672 \h </w:instrText>
            </w:r>
            <w:r w:rsidR="000F1C06">
              <w:rPr>
                <w:noProof/>
                <w:webHidden/>
              </w:rPr>
            </w:r>
            <w:r w:rsidR="000F1C06">
              <w:rPr>
                <w:noProof/>
                <w:webHidden/>
              </w:rPr>
              <w:fldChar w:fldCharType="separate"/>
            </w:r>
            <w:r w:rsidR="000F1C06">
              <w:rPr>
                <w:noProof/>
                <w:webHidden/>
              </w:rPr>
              <w:t>5</w:t>
            </w:r>
            <w:r w:rsidR="000F1C06">
              <w:rPr>
                <w:noProof/>
                <w:webHidden/>
              </w:rPr>
              <w:fldChar w:fldCharType="end"/>
            </w:r>
          </w:hyperlink>
        </w:p>
        <w:p w14:paraId="5074CA03" w14:textId="77777777" w:rsidR="000F1C06" w:rsidRDefault="00932E8B">
          <w:pPr>
            <w:pStyle w:val="TOC1"/>
            <w:tabs>
              <w:tab w:val="left" w:pos="440"/>
              <w:tab w:val="right" w:leader="dot" w:pos="9016"/>
            </w:tabs>
            <w:rPr>
              <w:noProof/>
              <w:lang w:val="fr-FR" w:eastAsia="fr-FR"/>
            </w:rPr>
          </w:pPr>
          <w:hyperlink w:anchor="_Toc389461673" w:history="1">
            <w:r w:rsidR="000F1C06" w:rsidRPr="000F4D39">
              <w:rPr>
                <w:rStyle w:val="Hyperlink"/>
                <w:noProof/>
                <w:lang w:val="en-GB"/>
              </w:rPr>
              <w:t>2</w:t>
            </w:r>
            <w:r w:rsidR="000F1C06">
              <w:rPr>
                <w:noProof/>
                <w:lang w:val="fr-FR" w:eastAsia="fr-FR"/>
              </w:rPr>
              <w:tab/>
            </w:r>
            <w:r w:rsidR="000F1C06" w:rsidRPr="000F4D39">
              <w:rPr>
                <w:rStyle w:val="Hyperlink"/>
                <w:noProof/>
                <w:lang w:val="en-GB"/>
              </w:rPr>
              <w:t>Key Issues to be Addressed by the Mitigation Framework</w:t>
            </w:r>
            <w:r w:rsidR="000F1C06">
              <w:rPr>
                <w:noProof/>
                <w:webHidden/>
              </w:rPr>
              <w:tab/>
            </w:r>
            <w:r w:rsidR="000F1C06">
              <w:rPr>
                <w:noProof/>
                <w:webHidden/>
              </w:rPr>
              <w:fldChar w:fldCharType="begin"/>
            </w:r>
            <w:r w:rsidR="000F1C06">
              <w:rPr>
                <w:noProof/>
                <w:webHidden/>
              </w:rPr>
              <w:instrText xml:space="preserve"> PAGEREF _Toc389461673 \h </w:instrText>
            </w:r>
            <w:r w:rsidR="000F1C06">
              <w:rPr>
                <w:noProof/>
                <w:webHidden/>
              </w:rPr>
            </w:r>
            <w:r w:rsidR="000F1C06">
              <w:rPr>
                <w:noProof/>
                <w:webHidden/>
              </w:rPr>
              <w:fldChar w:fldCharType="separate"/>
            </w:r>
            <w:r w:rsidR="000F1C06">
              <w:rPr>
                <w:noProof/>
                <w:webHidden/>
              </w:rPr>
              <w:t>6</w:t>
            </w:r>
            <w:r w:rsidR="000F1C06">
              <w:rPr>
                <w:noProof/>
                <w:webHidden/>
              </w:rPr>
              <w:fldChar w:fldCharType="end"/>
            </w:r>
          </w:hyperlink>
        </w:p>
        <w:p w14:paraId="2B76A9FC" w14:textId="77777777" w:rsidR="000F1C06" w:rsidRDefault="00932E8B">
          <w:pPr>
            <w:pStyle w:val="TOC2"/>
            <w:tabs>
              <w:tab w:val="left" w:pos="880"/>
              <w:tab w:val="right" w:leader="dot" w:pos="9016"/>
            </w:tabs>
            <w:rPr>
              <w:noProof/>
              <w:lang w:val="fr-FR" w:eastAsia="fr-FR"/>
            </w:rPr>
          </w:pPr>
          <w:hyperlink w:anchor="_Toc389461674" w:history="1">
            <w:r w:rsidR="000F1C06" w:rsidRPr="000F4D39">
              <w:rPr>
                <w:rStyle w:val="Hyperlink"/>
                <w:noProof/>
                <w:lang w:val="en-GB"/>
              </w:rPr>
              <w:t>2.1</w:t>
            </w:r>
            <w:r w:rsidR="000F1C06">
              <w:rPr>
                <w:noProof/>
                <w:lang w:val="fr-FR" w:eastAsia="fr-FR"/>
              </w:rPr>
              <w:tab/>
            </w:r>
            <w:r w:rsidR="000F1C06" w:rsidRPr="000F4D39">
              <w:rPr>
                <w:rStyle w:val="Hyperlink"/>
                <w:noProof/>
                <w:lang w:val="en-GB"/>
              </w:rPr>
              <w:t>The Urgency of Climate Change and the Need for Transformation</w:t>
            </w:r>
            <w:r w:rsidR="000F1C06">
              <w:rPr>
                <w:noProof/>
                <w:webHidden/>
              </w:rPr>
              <w:tab/>
            </w:r>
            <w:r w:rsidR="000F1C06">
              <w:rPr>
                <w:noProof/>
                <w:webHidden/>
              </w:rPr>
              <w:fldChar w:fldCharType="begin"/>
            </w:r>
            <w:r w:rsidR="000F1C06">
              <w:rPr>
                <w:noProof/>
                <w:webHidden/>
              </w:rPr>
              <w:instrText xml:space="preserve"> PAGEREF _Toc389461674 \h </w:instrText>
            </w:r>
            <w:r w:rsidR="000F1C06">
              <w:rPr>
                <w:noProof/>
                <w:webHidden/>
              </w:rPr>
            </w:r>
            <w:r w:rsidR="000F1C06">
              <w:rPr>
                <w:noProof/>
                <w:webHidden/>
              </w:rPr>
              <w:fldChar w:fldCharType="separate"/>
            </w:r>
            <w:r w:rsidR="000F1C06">
              <w:rPr>
                <w:noProof/>
                <w:webHidden/>
              </w:rPr>
              <w:t>6</w:t>
            </w:r>
            <w:r w:rsidR="000F1C06">
              <w:rPr>
                <w:noProof/>
                <w:webHidden/>
              </w:rPr>
              <w:fldChar w:fldCharType="end"/>
            </w:r>
          </w:hyperlink>
        </w:p>
        <w:p w14:paraId="0263FAAC" w14:textId="77777777" w:rsidR="000F1C06" w:rsidRDefault="00932E8B">
          <w:pPr>
            <w:pStyle w:val="TOC2"/>
            <w:tabs>
              <w:tab w:val="left" w:pos="880"/>
              <w:tab w:val="right" w:leader="dot" w:pos="9016"/>
            </w:tabs>
            <w:rPr>
              <w:noProof/>
              <w:lang w:val="fr-FR" w:eastAsia="fr-FR"/>
            </w:rPr>
          </w:pPr>
          <w:hyperlink w:anchor="_Toc389461675" w:history="1">
            <w:r w:rsidR="000F1C06" w:rsidRPr="000F4D39">
              <w:rPr>
                <w:rStyle w:val="Hyperlink"/>
                <w:noProof/>
                <w:lang w:val="en-GB"/>
              </w:rPr>
              <w:t>2.2</w:t>
            </w:r>
            <w:r w:rsidR="000F1C06">
              <w:rPr>
                <w:noProof/>
                <w:lang w:val="fr-FR" w:eastAsia="fr-FR"/>
              </w:rPr>
              <w:tab/>
            </w:r>
            <w:r w:rsidR="000F1C06" w:rsidRPr="000F4D39">
              <w:rPr>
                <w:rStyle w:val="Hyperlink"/>
                <w:noProof/>
                <w:lang w:val="en-GB"/>
              </w:rPr>
              <w:t>The Diversity of Countries and Remaining Gaps between Groups</w:t>
            </w:r>
            <w:r w:rsidR="000F1C06">
              <w:rPr>
                <w:noProof/>
                <w:webHidden/>
              </w:rPr>
              <w:tab/>
            </w:r>
            <w:r w:rsidR="000F1C06">
              <w:rPr>
                <w:noProof/>
                <w:webHidden/>
              </w:rPr>
              <w:fldChar w:fldCharType="begin"/>
            </w:r>
            <w:r w:rsidR="000F1C06">
              <w:rPr>
                <w:noProof/>
                <w:webHidden/>
              </w:rPr>
              <w:instrText xml:space="preserve"> PAGEREF _Toc389461675 \h </w:instrText>
            </w:r>
            <w:r w:rsidR="000F1C06">
              <w:rPr>
                <w:noProof/>
                <w:webHidden/>
              </w:rPr>
            </w:r>
            <w:r w:rsidR="000F1C06">
              <w:rPr>
                <w:noProof/>
                <w:webHidden/>
              </w:rPr>
              <w:fldChar w:fldCharType="separate"/>
            </w:r>
            <w:r w:rsidR="000F1C06">
              <w:rPr>
                <w:noProof/>
                <w:webHidden/>
              </w:rPr>
              <w:t>7</w:t>
            </w:r>
            <w:r w:rsidR="000F1C06">
              <w:rPr>
                <w:noProof/>
                <w:webHidden/>
              </w:rPr>
              <w:fldChar w:fldCharType="end"/>
            </w:r>
          </w:hyperlink>
        </w:p>
        <w:p w14:paraId="50944EF5" w14:textId="77777777" w:rsidR="000F1C06" w:rsidRDefault="00932E8B">
          <w:pPr>
            <w:pStyle w:val="TOC2"/>
            <w:tabs>
              <w:tab w:val="left" w:pos="880"/>
              <w:tab w:val="right" w:leader="dot" w:pos="9016"/>
            </w:tabs>
            <w:rPr>
              <w:noProof/>
              <w:lang w:val="fr-FR" w:eastAsia="fr-FR"/>
            </w:rPr>
          </w:pPr>
          <w:hyperlink w:anchor="_Toc389461676" w:history="1">
            <w:r w:rsidR="000F1C06" w:rsidRPr="000F4D39">
              <w:rPr>
                <w:rStyle w:val="Hyperlink"/>
                <w:noProof/>
                <w:lang w:val="en-GB" w:eastAsia="fr-FR"/>
              </w:rPr>
              <w:t>2.3</w:t>
            </w:r>
            <w:r w:rsidR="000F1C06">
              <w:rPr>
                <w:noProof/>
                <w:lang w:val="fr-FR" w:eastAsia="fr-FR"/>
              </w:rPr>
              <w:tab/>
            </w:r>
            <w:r w:rsidR="000F1C06" w:rsidRPr="000F4D39">
              <w:rPr>
                <w:rStyle w:val="Hyperlink"/>
                <w:noProof/>
                <w:lang w:val="en-GB" w:eastAsia="fr-FR"/>
              </w:rPr>
              <w:t>Climate Change as a Long-Term Structural Challenge and the Need for Global Coordination</w:t>
            </w:r>
            <w:r w:rsidR="000F1C06">
              <w:rPr>
                <w:noProof/>
                <w:webHidden/>
              </w:rPr>
              <w:tab/>
            </w:r>
            <w:r w:rsidR="000F1C06">
              <w:rPr>
                <w:noProof/>
                <w:webHidden/>
              </w:rPr>
              <w:fldChar w:fldCharType="begin"/>
            </w:r>
            <w:r w:rsidR="000F1C06">
              <w:rPr>
                <w:noProof/>
                <w:webHidden/>
              </w:rPr>
              <w:instrText xml:space="preserve"> PAGEREF _Toc389461676 \h </w:instrText>
            </w:r>
            <w:r w:rsidR="000F1C06">
              <w:rPr>
                <w:noProof/>
                <w:webHidden/>
              </w:rPr>
            </w:r>
            <w:r w:rsidR="000F1C06">
              <w:rPr>
                <w:noProof/>
                <w:webHidden/>
              </w:rPr>
              <w:fldChar w:fldCharType="separate"/>
            </w:r>
            <w:r w:rsidR="000F1C06">
              <w:rPr>
                <w:noProof/>
                <w:webHidden/>
              </w:rPr>
              <w:t>10</w:t>
            </w:r>
            <w:r w:rsidR="000F1C06">
              <w:rPr>
                <w:noProof/>
                <w:webHidden/>
              </w:rPr>
              <w:fldChar w:fldCharType="end"/>
            </w:r>
          </w:hyperlink>
        </w:p>
        <w:p w14:paraId="64A5E8DE" w14:textId="77777777" w:rsidR="000F1C06" w:rsidRDefault="00932E8B">
          <w:pPr>
            <w:pStyle w:val="TOC2"/>
            <w:tabs>
              <w:tab w:val="left" w:pos="880"/>
              <w:tab w:val="right" w:leader="dot" w:pos="9016"/>
            </w:tabs>
            <w:rPr>
              <w:noProof/>
              <w:lang w:val="fr-FR" w:eastAsia="fr-FR"/>
            </w:rPr>
          </w:pPr>
          <w:hyperlink w:anchor="_Toc389461677" w:history="1">
            <w:r w:rsidR="000F1C06" w:rsidRPr="000F4D39">
              <w:rPr>
                <w:rStyle w:val="Hyperlink"/>
                <w:noProof/>
                <w:lang w:val="en-GB"/>
              </w:rPr>
              <w:t>2.4</w:t>
            </w:r>
            <w:r w:rsidR="000F1C06">
              <w:rPr>
                <w:noProof/>
                <w:lang w:val="fr-FR" w:eastAsia="fr-FR"/>
              </w:rPr>
              <w:tab/>
            </w:r>
            <w:r w:rsidR="000F1C06" w:rsidRPr="000F4D39">
              <w:rPr>
                <w:rStyle w:val="Hyperlink"/>
                <w:noProof/>
                <w:lang w:val="en-GB"/>
              </w:rPr>
              <w:t>Creating a Long-Term, Dynamic Agreement</w:t>
            </w:r>
            <w:r w:rsidR="000F1C06">
              <w:rPr>
                <w:noProof/>
                <w:webHidden/>
              </w:rPr>
              <w:tab/>
            </w:r>
            <w:r w:rsidR="000F1C06">
              <w:rPr>
                <w:noProof/>
                <w:webHidden/>
              </w:rPr>
              <w:fldChar w:fldCharType="begin"/>
            </w:r>
            <w:r w:rsidR="000F1C06">
              <w:rPr>
                <w:noProof/>
                <w:webHidden/>
              </w:rPr>
              <w:instrText xml:space="preserve"> PAGEREF _Toc389461677 \h </w:instrText>
            </w:r>
            <w:r w:rsidR="000F1C06">
              <w:rPr>
                <w:noProof/>
                <w:webHidden/>
              </w:rPr>
            </w:r>
            <w:r w:rsidR="000F1C06">
              <w:rPr>
                <w:noProof/>
                <w:webHidden/>
              </w:rPr>
              <w:fldChar w:fldCharType="separate"/>
            </w:r>
            <w:r w:rsidR="000F1C06">
              <w:rPr>
                <w:noProof/>
                <w:webHidden/>
              </w:rPr>
              <w:t>14</w:t>
            </w:r>
            <w:r w:rsidR="000F1C06">
              <w:rPr>
                <w:noProof/>
                <w:webHidden/>
              </w:rPr>
              <w:fldChar w:fldCharType="end"/>
            </w:r>
          </w:hyperlink>
        </w:p>
        <w:p w14:paraId="4BE371A7" w14:textId="77777777" w:rsidR="000F1C06" w:rsidRDefault="00932E8B">
          <w:pPr>
            <w:pStyle w:val="TOC1"/>
            <w:tabs>
              <w:tab w:val="left" w:pos="440"/>
              <w:tab w:val="right" w:leader="dot" w:pos="9016"/>
            </w:tabs>
            <w:rPr>
              <w:noProof/>
              <w:lang w:val="fr-FR" w:eastAsia="fr-FR"/>
            </w:rPr>
          </w:pPr>
          <w:hyperlink w:anchor="_Toc389461678" w:history="1">
            <w:r w:rsidR="000F1C06" w:rsidRPr="000F4D39">
              <w:rPr>
                <w:rStyle w:val="Hyperlink"/>
                <w:noProof/>
                <w:lang w:val="en-GB"/>
              </w:rPr>
              <w:t>3</w:t>
            </w:r>
            <w:r w:rsidR="000F1C06">
              <w:rPr>
                <w:noProof/>
                <w:lang w:val="fr-FR" w:eastAsia="fr-FR"/>
              </w:rPr>
              <w:tab/>
            </w:r>
            <w:r w:rsidR="000F1C06" w:rsidRPr="000F4D39">
              <w:rPr>
                <w:rStyle w:val="Hyperlink"/>
                <w:noProof/>
                <w:lang w:val="en-GB"/>
              </w:rPr>
              <w:t>The Example of the Cancun Targets</w:t>
            </w:r>
            <w:r w:rsidR="000F1C06">
              <w:rPr>
                <w:noProof/>
                <w:webHidden/>
              </w:rPr>
              <w:tab/>
            </w:r>
            <w:r w:rsidR="000F1C06">
              <w:rPr>
                <w:noProof/>
                <w:webHidden/>
              </w:rPr>
              <w:fldChar w:fldCharType="begin"/>
            </w:r>
            <w:r w:rsidR="000F1C06">
              <w:rPr>
                <w:noProof/>
                <w:webHidden/>
              </w:rPr>
              <w:instrText xml:space="preserve"> PAGEREF _Toc389461678 \h </w:instrText>
            </w:r>
            <w:r w:rsidR="000F1C06">
              <w:rPr>
                <w:noProof/>
                <w:webHidden/>
              </w:rPr>
            </w:r>
            <w:r w:rsidR="000F1C06">
              <w:rPr>
                <w:noProof/>
                <w:webHidden/>
              </w:rPr>
              <w:fldChar w:fldCharType="separate"/>
            </w:r>
            <w:r w:rsidR="000F1C06">
              <w:rPr>
                <w:noProof/>
                <w:webHidden/>
              </w:rPr>
              <w:t>14</w:t>
            </w:r>
            <w:r w:rsidR="000F1C06">
              <w:rPr>
                <w:noProof/>
                <w:webHidden/>
              </w:rPr>
              <w:fldChar w:fldCharType="end"/>
            </w:r>
          </w:hyperlink>
        </w:p>
        <w:p w14:paraId="6F8BE7CF" w14:textId="77777777" w:rsidR="000F1C06" w:rsidRDefault="00932E8B">
          <w:pPr>
            <w:pStyle w:val="TOC1"/>
            <w:tabs>
              <w:tab w:val="left" w:pos="440"/>
              <w:tab w:val="right" w:leader="dot" w:pos="9016"/>
            </w:tabs>
            <w:rPr>
              <w:noProof/>
              <w:lang w:val="fr-FR" w:eastAsia="fr-FR"/>
            </w:rPr>
          </w:pPr>
          <w:hyperlink w:anchor="_Toc389461679" w:history="1">
            <w:r w:rsidR="000F1C06" w:rsidRPr="000F4D39">
              <w:rPr>
                <w:rStyle w:val="Hyperlink"/>
                <w:noProof/>
                <w:lang w:val="en-GB"/>
              </w:rPr>
              <w:t>4</w:t>
            </w:r>
            <w:r w:rsidR="000F1C06">
              <w:rPr>
                <w:noProof/>
                <w:lang w:val="fr-FR" w:eastAsia="fr-FR"/>
              </w:rPr>
              <w:tab/>
            </w:r>
            <w:r w:rsidR="000F1C06" w:rsidRPr="000F4D39">
              <w:rPr>
                <w:rStyle w:val="Hyperlink"/>
                <w:noProof/>
                <w:lang w:val="en-GB"/>
              </w:rPr>
              <w:t>The Design of Mitigation Targets – A Proposal</w:t>
            </w:r>
            <w:r w:rsidR="000F1C06">
              <w:rPr>
                <w:noProof/>
                <w:webHidden/>
              </w:rPr>
              <w:tab/>
            </w:r>
            <w:r w:rsidR="000F1C06">
              <w:rPr>
                <w:noProof/>
                <w:webHidden/>
              </w:rPr>
              <w:fldChar w:fldCharType="begin"/>
            </w:r>
            <w:r w:rsidR="000F1C06">
              <w:rPr>
                <w:noProof/>
                <w:webHidden/>
              </w:rPr>
              <w:instrText xml:space="preserve"> PAGEREF _Toc389461679 \h </w:instrText>
            </w:r>
            <w:r w:rsidR="000F1C06">
              <w:rPr>
                <w:noProof/>
                <w:webHidden/>
              </w:rPr>
            </w:r>
            <w:r w:rsidR="000F1C06">
              <w:rPr>
                <w:noProof/>
                <w:webHidden/>
              </w:rPr>
              <w:fldChar w:fldCharType="separate"/>
            </w:r>
            <w:r w:rsidR="000F1C06">
              <w:rPr>
                <w:noProof/>
                <w:webHidden/>
              </w:rPr>
              <w:t>15</w:t>
            </w:r>
            <w:r w:rsidR="000F1C06">
              <w:rPr>
                <w:noProof/>
                <w:webHidden/>
              </w:rPr>
              <w:fldChar w:fldCharType="end"/>
            </w:r>
          </w:hyperlink>
        </w:p>
        <w:p w14:paraId="6548EFBA" w14:textId="77777777" w:rsidR="000F1C06" w:rsidRDefault="00932E8B">
          <w:pPr>
            <w:pStyle w:val="TOC2"/>
            <w:tabs>
              <w:tab w:val="left" w:pos="880"/>
              <w:tab w:val="right" w:leader="dot" w:pos="9016"/>
            </w:tabs>
            <w:rPr>
              <w:noProof/>
              <w:lang w:val="fr-FR" w:eastAsia="fr-FR"/>
            </w:rPr>
          </w:pPr>
          <w:hyperlink w:anchor="_Toc389461680" w:history="1">
            <w:r w:rsidR="000F1C06" w:rsidRPr="000F4D39">
              <w:rPr>
                <w:rStyle w:val="Hyperlink"/>
                <w:noProof/>
                <w:lang w:val="en-GB" w:eastAsia="zh-CN"/>
              </w:rPr>
              <w:t>4.1</w:t>
            </w:r>
            <w:r w:rsidR="000F1C06">
              <w:rPr>
                <w:noProof/>
                <w:lang w:val="fr-FR" w:eastAsia="fr-FR"/>
              </w:rPr>
              <w:tab/>
            </w:r>
            <w:r w:rsidR="000F1C06" w:rsidRPr="000F4D39">
              <w:rPr>
                <w:rStyle w:val="Hyperlink"/>
                <w:noProof/>
                <w:lang w:val="en-GB" w:eastAsia="zh-CN"/>
              </w:rPr>
              <w:t>The 2 Degrees Target: An Long-Term Global Goal as a Directional Reference</w:t>
            </w:r>
            <w:r w:rsidR="000F1C06">
              <w:rPr>
                <w:noProof/>
                <w:webHidden/>
              </w:rPr>
              <w:tab/>
            </w:r>
            <w:r w:rsidR="000F1C06">
              <w:rPr>
                <w:noProof/>
                <w:webHidden/>
              </w:rPr>
              <w:fldChar w:fldCharType="begin"/>
            </w:r>
            <w:r w:rsidR="000F1C06">
              <w:rPr>
                <w:noProof/>
                <w:webHidden/>
              </w:rPr>
              <w:instrText xml:space="preserve"> PAGEREF _Toc389461680 \h </w:instrText>
            </w:r>
            <w:r w:rsidR="000F1C06">
              <w:rPr>
                <w:noProof/>
                <w:webHidden/>
              </w:rPr>
            </w:r>
            <w:r w:rsidR="000F1C06">
              <w:rPr>
                <w:noProof/>
                <w:webHidden/>
              </w:rPr>
              <w:fldChar w:fldCharType="separate"/>
            </w:r>
            <w:r w:rsidR="000F1C06">
              <w:rPr>
                <w:noProof/>
                <w:webHidden/>
              </w:rPr>
              <w:t>15</w:t>
            </w:r>
            <w:r w:rsidR="000F1C06">
              <w:rPr>
                <w:noProof/>
                <w:webHidden/>
              </w:rPr>
              <w:fldChar w:fldCharType="end"/>
            </w:r>
          </w:hyperlink>
        </w:p>
        <w:p w14:paraId="3A219241" w14:textId="77777777" w:rsidR="000F1C06" w:rsidRDefault="00932E8B">
          <w:pPr>
            <w:pStyle w:val="TOC2"/>
            <w:tabs>
              <w:tab w:val="left" w:pos="880"/>
              <w:tab w:val="right" w:leader="dot" w:pos="9016"/>
            </w:tabs>
            <w:rPr>
              <w:noProof/>
              <w:lang w:val="fr-FR" w:eastAsia="fr-FR"/>
            </w:rPr>
          </w:pPr>
          <w:hyperlink w:anchor="_Toc389461681" w:history="1">
            <w:r w:rsidR="000F1C06" w:rsidRPr="000F4D39">
              <w:rPr>
                <w:rStyle w:val="Hyperlink"/>
                <w:noProof/>
                <w:lang w:val="en-GB" w:eastAsia="zh-CN"/>
              </w:rPr>
              <w:t>4.2</w:t>
            </w:r>
            <w:r w:rsidR="000F1C06">
              <w:rPr>
                <w:noProof/>
                <w:lang w:val="fr-FR" w:eastAsia="fr-FR"/>
              </w:rPr>
              <w:tab/>
            </w:r>
            <w:r w:rsidR="000F1C06" w:rsidRPr="000F4D39">
              <w:rPr>
                <w:rStyle w:val="Hyperlink"/>
                <w:noProof/>
                <w:lang w:val="en-GB" w:eastAsia="zh-CN"/>
              </w:rPr>
              <w:t>From Targets to Pathways</w:t>
            </w:r>
            <w:r w:rsidR="000F1C06">
              <w:rPr>
                <w:noProof/>
                <w:webHidden/>
              </w:rPr>
              <w:tab/>
            </w:r>
            <w:r w:rsidR="000F1C06">
              <w:rPr>
                <w:noProof/>
                <w:webHidden/>
              </w:rPr>
              <w:fldChar w:fldCharType="begin"/>
            </w:r>
            <w:r w:rsidR="000F1C06">
              <w:rPr>
                <w:noProof/>
                <w:webHidden/>
              </w:rPr>
              <w:instrText xml:space="preserve"> PAGEREF _Toc389461681 \h </w:instrText>
            </w:r>
            <w:r w:rsidR="000F1C06">
              <w:rPr>
                <w:noProof/>
                <w:webHidden/>
              </w:rPr>
            </w:r>
            <w:r w:rsidR="000F1C06">
              <w:rPr>
                <w:noProof/>
                <w:webHidden/>
              </w:rPr>
              <w:fldChar w:fldCharType="separate"/>
            </w:r>
            <w:r w:rsidR="000F1C06">
              <w:rPr>
                <w:noProof/>
                <w:webHidden/>
              </w:rPr>
              <w:t>16</w:t>
            </w:r>
            <w:r w:rsidR="000F1C06">
              <w:rPr>
                <w:noProof/>
                <w:webHidden/>
              </w:rPr>
              <w:fldChar w:fldCharType="end"/>
            </w:r>
          </w:hyperlink>
        </w:p>
        <w:p w14:paraId="34F49FBB" w14:textId="77777777" w:rsidR="000F1C06" w:rsidRDefault="00932E8B">
          <w:pPr>
            <w:pStyle w:val="TOC3"/>
            <w:tabs>
              <w:tab w:val="left" w:pos="1320"/>
              <w:tab w:val="right" w:leader="dot" w:pos="9016"/>
            </w:tabs>
            <w:rPr>
              <w:noProof/>
              <w:lang w:val="fr-FR" w:eastAsia="fr-FR"/>
            </w:rPr>
          </w:pPr>
          <w:hyperlink w:anchor="_Toc389461682" w:history="1">
            <w:r w:rsidR="000F1C06" w:rsidRPr="000F4D39">
              <w:rPr>
                <w:rStyle w:val="Hyperlink"/>
                <w:noProof/>
                <w:lang w:val="en-GB"/>
              </w:rPr>
              <w:t>4.2.1</w:t>
            </w:r>
            <w:r w:rsidR="000F1C06">
              <w:rPr>
                <w:noProof/>
                <w:lang w:val="fr-FR" w:eastAsia="fr-FR"/>
              </w:rPr>
              <w:tab/>
            </w:r>
            <w:r w:rsidR="000F1C06" w:rsidRPr="000F4D39">
              <w:rPr>
                <w:rStyle w:val="Hyperlink"/>
                <w:noProof/>
                <w:lang w:val="en-GB"/>
              </w:rPr>
              <w:t>Low Emissions Pathways and Multiple Time Period Targets</w:t>
            </w:r>
            <w:r w:rsidR="000F1C06">
              <w:rPr>
                <w:noProof/>
                <w:webHidden/>
              </w:rPr>
              <w:tab/>
            </w:r>
            <w:r w:rsidR="000F1C06">
              <w:rPr>
                <w:noProof/>
                <w:webHidden/>
              </w:rPr>
              <w:fldChar w:fldCharType="begin"/>
            </w:r>
            <w:r w:rsidR="000F1C06">
              <w:rPr>
                <w:noProof/>
                <w:webHidden/>
              </w:rPr>
              <w:instrText xml:space="preserve"> PAGEREF _Toc389461682 \h </w:instrText>
            </w:r>
            <w:r w:rsidR="000F1C06">
              <w:rPr>
                <w:noProof/>
                <w:webHidden/>
              </w:rPr>
            </w:r>
            <w:r w:rsidR="000F1C06">
              <w:rPr>
                <w:noProof/>
                <w:webHidden/>
              </w:rPr>
              <w:fldChar w:fldCharType="separate"/>
            </w:r>
            <w:r w:rsidR="000F1C06">
              <w:rPr>
                <w:noProof/>
                <w:webHidden/>
              </w:rPr>
              <w:t>16</w:t>
            </w:r>
            <w:r w:rsidR="000F1C06">
              <w:rPr>
                <w:noProof/>
                <w:webHidden/>
              </w:rPr>
              <w:fldChar w:fldCharType="end"/>
            </w:r>
          </w:hyperlink>
        </w:p>
        <w:p w14:paraId="27A093CA" w14:textId="77777777" w:rsidR="000F1C06" w:rsidRDefault="00932E8B">
          <w:pPr>
            <w:pStyle w:val="TOC3"/>
            <w:tabs>
              <w:tab w:val="left" w:pos="1320"/>
              <w:tab w:val="right" w:leader="dot" w:pos="9016"/>
            </w:tabs>
            <w:rPr>
              <w:noProof/>
              <w:lang w:val="fr-FR" w:eastAsia="fr-FR"/>
            </w:rPr>
          </w:pPr>
          <w:hyperlink w:anchor="_Toc389461683" w:history="1">
            <w:r w:rsidR="000F1C06" w:rsidRPr="000F4D39">
              <w:rPr>
                <w:rStyle w:val="Hyperlink"/>
                <w:noProof/>
                <w:lang w:val="en-GB"/>
              </w:rPr>
              <w:t>4.2.2</w:t>
            </w:r>
            <w:r w:rsidR="000F1C06">
              <w:rPr>
                <w:noProof/>
                <w:lang w:val="fr-FR" w:eastAsia="fr-FR"/>
              </w:rPr>
              <w:tab/>
            </w:r>
            <w:r w:rsidR="000F1C06" w:rsidRPr="000F4D39">
              <w:rPr>
                <w:rStyle w:val="Hyperlink"/>
                <w:noProof/>
                <w:lang w:val="en-GB"/>
              </w:rPr>
              <w:t>Target Packages: Multi-Tier, Multi-Sector Targets</w:t>
            </w:r>
            <w:r w:rsidR="000F1C06">
              <w:rPr>
                <w:noProof/>
                <w:webHidden/>
              </w:rPr>
              <w:tab/>
            </w:r>
            <w:r w:rsidR="000F1C06">
              <w:rPr>
                <w:noProof/>
                <w:webHidden/>
              </w:rPr>
              <w:fldChar w:fldCharType="begin"/>
            </w:r>
            <w:r w:rsidR="000F1C06">
              <w:rPr>
                <w:noProof/>
                <w:webHidden/>
              </w:rPr>
              <w:instrText xml:space="preserve"> PAGEREF _Toc389461683 \h </w:instrText>
            </w:r>
            <w:r w:rsidR="000F1C06">
              <w:rPr>
                <w:noProof/>
                <w:webHidden/>
              </w:rPr>
            </w:r>
            <w:r w:rsidR="000F1C06">
              <w:rPr>
                <w:noProof/>
                <w:webHidden/>
              </w:rPr>
              <w:fldChar w:fldCharType="separate"/>
            </w:r>
            <w:r w:rsidR="000F1C06">
              <w:rPr>
                <w:noProof/>
                <w:webHidden/>
              </w:rPr>
              <w:t>19</w:t>
            </w:r>
            <w:r w:rsidR="000F1C06">
              <w:rPr>
                <w:noProof/>
                <w:webHidden/>
              </w:rPr>
              <w:fldChar w:fldCharType="end"/>
            </w:r>
          </w:hyperlink>
        </w:p>
        <w:p w14:paraId="56527177" w14:textId="77777777" w:rsidR="000F1C06" w:rsidRDefault="00932E8B">
          <w:pPr>
            <w:pStyle w:val="TOC1"/>
            <w:tabs>
              <w:tab w:val="left" w:pos="440"/>
              <w:tab w:val="right" w:leader="dot" w:pos="9016"/>
            </w:tabs>
            <w:rPr>
              <w:noProof/>
              <w:lang w:val="fr-FR" w:eastAsia="fr-FR"/>
            </w:rPr>
          </w:pPr>
          <w:hyperlink w:anchor="_Toc389461684" w:history="1">
            <w:r w:rsidR="000F1C06" w:rsidRPr="000F4D39">
              <w:rPr>
                <w:rStyle w:val="Hyperlink"/>
                <w:noProof/>
                <w:lang w:val="en-GB"/>
              </w:rPr>
              <w:t>5</w:t>
            </w:r>
            <w:r w:rsidR="000F1C06">
              <w:rPr>
                <w:noProof/>
                <w:lang w:val="fr-FR" w:eastAsia="fr-FR"/>
              </w:rPr>
              <w:tab/>
            </w:r>
            <w:r w:rsidR="000F1C06" w:rsidRPr="000F4D39">
              <w:rPr>
                <w:rStyle w:val="Hyperlink"/>
                <w:noProof/>
                <w:lang w:val="en-GB"/>
              </w:rPr>
              <w:t>Conclusions</w:t>
            </w:r>
            <w:r w:rsidR="000F1C06">
              <w:rPr>
                <w:noProof/>
                <w:webHidden/>
              </w:rPr>
              <w:tab/>
            </w:r>
            <w:r w:rsidR="000F1C06">
              <w:rPr>
                <w:noProof/>
                <w:webHidden/>
              </w:rPr>
              <w:fldChar w:fldCharType="begin"/>
            </w:r>
            <w:r w:rsidR="000F1C06">
              <w:rPr>
                <w:noProof/>
                <w:webHidden/>
              </w:rPr>
              <w:instrText xml:space="preserve"> PAGEREF _Toc389461684 \h </w:instrText>
            </w:r>
            <w:r w:rsidR="000F1C06">
              <w:rPr>
                <w:noProof/>
                <w:webHidden/>
              </w:rPr>
            </w:r>
            <w:r w:rsidR="000F1C06">
              <w:rPr>
                <w:noProof/>
                <w:webHidden/>
              </w:rPr>
              <w:fldChar w:fldCharType="separate"/>
            </w:r>
            <w:r w:rsidR="000F1C06">
              <w:rPr>
                <w:noProof/>
                <w:webHidden/>
              </w:rPr>
              <w:t>20</w:t>
            </w:r>
            <w:r w:rsidR="000F1C06">
              <w:rPr>
                <w:noProof/>
                <w:webHidden/>
              </w:rPr>
              <w:fldChar w:fldCharType="end"/>
            </w:r>
          </w:hyperlink>
        </w:p>
        <w:p w14:paraId="25E25F51" w14:textId="3C6DBE40" w:rsidR="00B4128F" w:rsidRPr="006E04DF" w:rsidRDefault="00B4128F">
          <w:pPr>
            <w:rPr>
              <w:lang w:val="en-GB"/>
            </w:rPr>
          </w:pPr>
          <w:r w:rsidRPr="006E04DF">
            <w:rPr>
              <w:b/>
              <w:bCs/>
              <w:noProof/>
              <w:lang w:val="en-GB"/>
            </w:rPr>
            <w:fldChar w:fldCharType="end"/>
          </w:r>
        </w:p>
      </w:sdtContent>
    </w:sdt>
    <w:p w14:paraId="4A30C1FF" w14:textId="77777777" w:rsidR="00F0133B" w:rsidRDefault="00F0133B">
      <w:pPr>
        <w:pStyle w:val="TableofFigures"/>
        <w:tabs>
          <w:tab w:val="right" w:leader="dot" w:pos="9016"/>
        </w:tabs>
        <w:rPr>
          <w:lang w:val="en-GB"/>
        </w:rPr>
      </w:pPr>
    </w:p>
    <w:p w14:paraId="4B8F38F0" w14:textId="77777777" w:rsidR="00F0133B" w:rsidRDefault="00F0133B">
      <w:pPr>
        <w:pStyle w:val="TableofFigures"/>
        <w:tabs>
          <w:tab w:val="right" w:leader="dot" w:pos="9016"/>
        </w:tabs>
        <w:rPr>
          <w:lang w:val="en-GB"/>
        </w:rPr>
      </w:pPr>
    </w:p>
    <w:p w14:paraId="50883F34" w14:textId="77777777" w:rsidR="00F0133B" w:rsidRDefault="00F0133B">
      <w:pPr>
        <w:pStyle w:val="TableofFigures"/>
        <w:tabs>
          <w:tab w:val="right" w:leader="dot" w:pos="9016"/>
        </w:tabs>
        <w:rPr>
          <w:lang w:val="en-GB"/>
        </w:rPr>
      </w:pPr>
    </w:p>
    <w:p w14:paraId="15ED9CF0" w14:textId="77777777" w:rsidR="00F0133B" w:rsidRDefault="00F0133B">
      <w:pPr>
        <w:pStyle w:val="TableofFigures"/>
        <w:tabs>
          <w:tab w:val="right" w:leader="dot" w:pos="9016"/>
        </w:tabs>
        <w:rPr>
          <w:lang w:val="en-GB"/>
        </w:rPr>
      </w:pPr>
    </w:p>
    <w:p w14:paraId="57AA5E01" w14:textId="77777777" w:rsidR="00F0133B" w:rsidRDefault="00F0133B">
      <w:pPr>
        <w:pStyle w:val="TableofFigures"/>
        <w:tabs>
          <w:tab w:val="right" w:leader="dot" w:pos="9016"/>
        </w:tabs>
        <w:rPr>
          <w:lang w:val="en-GB"/>
        </w:rPr>
      </w:pPr>
    </w:p>
    <w:p w14:paraId="3DE53CC2" w14:textId="77777777" w:rsidR="00F0133B" w:rsidRDefault="00F0133B">
      <w:pPr>
        <w:pStyle w:val="TableofFigures"/>
        <w:tabs>
          <w:tab w:val="right" w:leader="dot" w:pos="9016"/>
        </w:tabs>
        <w:rPr>
          <w:lang w:val="en-GB"/>
        </w:rPr>
      </w:pPr>
    </w:p>
    <w:p w14:paraId="2CC9490B" w14:textId="77777777" w:rsidR="00F0133B" w:rsidRDefault="00152192">
      <w:pPr>
        <w:pStyle w:val="TableofFigures"/>
        <w:tabs>
          <w:tab w:val="right" w:leader="dot" w:pos="9016"/>
        </w:tabs>
        <w:rPr>
          <w:noProof/>
          <w:lang w:val="fr-FR" w:eastAsia="fr-FR"/>
        </w:rPr>
      </w:pPr>
      <w:r>
        <w:rPr>
          <w:lang w:val="en-GB"/>
        </w:rPr>
        <w:fldChar w:fldCharType="begin"/>
      </w:r>
      <w:r>
        <w:rPr>
          <w:lang w:val="en-GB"/>
        </w:rPr>
        <w:instrText xml:space="preserve"> TOC \h \z \c "Figure" </w:instrText>
      </w:r>
      <w:r>
        <w:rPr>
          <w:lang w:val="en-GB"/>
        </w:rPr>
        <w:fldChar w:fldCharType="separate"/>
      </w:r>
      <w:hyperlink w:anchor="_Toc389212997" w:history="1">
        <w:r w:rsidR="00F0133B" w:rsidRPr="005B3522">
          <w:rPr>
            <w:rStyle w:val="Hyperlink"/>
            <w:noProof/>
          </w:rPr>
          <w:t>Figure 1:</w:t>
        </w:r>
        <w:r w:rsidR="00F0133B" w:rsidRPr="005B3522">
          <w:rPr>
            <w:rStyle w:val="Hyperlink"/>
            <w:rFonts w:ascii="Calibri" w:eastAsia="Times New Roman" w:hAnsi="Calibri" w:cs="Times New Roman"/>
            <w:noProof/>
            <w:lang w:val="en-GB" w:eastAsia="fr-FR"/>
          </w:rPr>
          <w:t xml:space="preserve"> </w:t>
        </w:r>
        <w:r w:rsidR="00F0133B" w:rsidRPr="005B3522">
          <w:rPr>
            <w:rStyle w:val="Hyperlink"/>
            <w:noProof/>
          </w:rPr>
          <w:t>GDP per capita at purchasing power parity, 2012, annex 1 in red, non-annex 1 in blue</w:t>
        </w:r>
        <w:r w:rsidR="00F0133B">
          <w:rPr>
            <w:noProof/>
            <w:webHidden/>
          </w:rPr>
          <w:tab/>
        </w:r>
        <w:r w:rsidR="00F0133B">
          <w:rPr>
            <w:noProof/>
            <w:webHidden/>
          </w:rPr>
          <w:fldChar w:fldCharType="begin"/>
        </w:r>
        <w:r w:rsidR="00F0133B">
          <w:rPr>
            <w:noProof/>
            <w:webHidden/>
          </w:rPr>
          <w:instrText xml:space="preserve"> PAGEREF _Toc389212997 \h </w:instrText>
        </w:r>
        <w:r w:rsidR="00F0133B">
          <w:rPr>
            <w:noProof/>
            <w:webHidden/>
          </w:rPr>
        </w:r>
        <w:r w:rsidR="00F0133B">
          <w:rPr>
            <w:noProof/>
            <w:webHidden/>
          </w:rPr>
          <w:fldChar w:fldCharType="separate"/>
        </w:r>
        <w:r w:rsidR="00F0133B">
          <w:rPr>
            <w:noProof/>
            <w:webHidden/>
          </w:rPr>
          <w:t>7</w:t>
        </w:r>
        <w:r w:rsidR="00F0133B">
          <w:rPr>
            <w:noProof/>
            <w:webHidden/>
          </w:rPr>
          <w:fldChar w:fldCharType="end"/>
        </w:r>
      </w:hyperlink>
    </w:p>
    <w:p w14:paraId="4103FE51" w14:textId="77777777" w:rsidR="00F0133B" w:rsidRDefault="00932E8B">
      <w:pPr>
        <w:pStyle w:val="TableofFigures"/>
        <w:tabs>
          <w:tab w:val="right" w:leader="dot" w:pos="9016"/>
        </w:tabs>
        <w:rPr>
          <w:noProof/>
          <w:lang w:val="fr-FR" w:eastAsia="fr-FR"/>
        </w:rPr>
      </w:pPr>
      <w:hyperlink w:anchor="_Toc389212998" w:history="1">
        <w:r w:rsidR="00F0133B" w:rsidRPr="005B3522">
          <w:rPr>
            <w:rStyle w:val="Hyperlink"/>
            <w:noProof/>
          </w:rPr>
          <w:t>Figure 2: CO</w:t>
        </w:r>
        <w:r w:rsidR="00F0133B" w:rsidRPr="005B3522">
          <w:rPr>
            <w:rStyle w:val="Hyperlink"/>
            <w:noProof/>
            <w:vertAlign w:val="subscript"/>
          </w:rPr>
          <w:t>2</w:t>
        </w:r>
        <w:r w:rsidR="00F0133B" w:rsidRPr="005B3522">
          <w:rPr>
            <w:rStyle w:val="Hyperlink"/>
            <w:noProof/>
          </w:rPr>
          <w:t xml:space="preserve"> per capita, 2010, annex 1 in red, non-annex 1 in blue</w:t>
        </w:r>
        <w:r w:rsidR="00F0133B">
          <w:rPr>
            <w:noProof/>
            <w:webHidden/>
          </w:rPr>
          <w:tab/>
        </w:r>
        <w:r w:rsidR="00F0133B">
          <w:rPr>
            <w:noProof/>
            <w:webHidden/>
          </w:rPr>
          <w:fldChar w:fldCharType="begin"/>
        </w:r>
        <w:r w:rsidR="00F0133B">
          <w:rPr>
            <w:noProof/>
            <w:webHidden/>
          </w:rPr>
          <w:instrText xml:space="preserve"> PAGEREF _Toc389212998 \h </w:instrText>
        </w:r>
        <w:r w:rsidR="00F0133B">
          <w:rPr>
            <w:noProof/>
            <w:webHidden/>
          </w:rPr>
        </w:r>
        <w:r w:rsidR="00F0133B">
          <w:rPr>
            <w:noProof/>
            <w:webHidden/>
          </w:rPr>
          <w:fldChar w:fldCharType="separate"/>
        </w:r>
        <w:r w:rsidR="00F0133B">
          <w:rPr>
            <w:noProof/>
            <w:webHidden/>
          </w:rPr>
          <w:t>7</w:t>
        </w:r>
        <w:r w:rsidR="00F0133B">
          <w:rPr>
            <w:noProof/>
            <w:webHidden/>
          </w:rPr>
          <w:fldChar w:fldCharType="end"/>
        </w:r>
      </w:hyperlink>
    </w:p>
    <w:p w14:paraId="514042AA" w14:textId="77777777" w:rsidR="00F0133B" w:rsidRDefault="00932E8B">
      <w:pPr>
        <w:pStyle w:val="TableofFigures"/>
        <w:tabs>
          <w:tab w:val="right" w:leader="dot" w:pos="9016"/>
        </w:tabs>
        <w:rPr>
          <w:noProof/>
          <w:lang w:val="fr-FR" w:eastAsia="fr-FR"/>
        </w:rPr>
      </w:pPr>
      <w:hyperlink w:anchor="_Toc389212999" w:history="1">
        <w:r w:rsidR="00F0133B" w:rsidRPr="005B3522">
          <w:rPr>
            <w:rStyle w:val="Hyperlink"/>
            <w:noProof/>
          </w:rPr>
          <w:t>Figure 3: average income per capita, PPP, 1990-2012</w:t>
        </w:r>
        <w:r w:rsidR="00F0133B">
          <w:rPr>
            <w:noProof/>
            <w:webHidden/>
          </w:rPr>
          <w:tab/>
        </w:r>
        <w:r w:rsidR="00F0133B">
          <w:rPr>
            <w:noProof/>
            <w:webHidden/>
          </w:rPr>
          <w:fldChar w:fldCharType="begin"/>
        </w:r>
        <w:r w:rsidR="00F0133B">
          <w:rPr>
            <w:noProof/>
            <w:webHidden/>
          </w:rPr>
          <w:instrText xml:space="preserve"> PAGEREF _Toc389212999 \h </w:instrText>
        </w:r>
        <w:r w:rsidR="00F0133B">
          <w:rPr>
            <w:noProof/>
            <w:webHidden/>
          </w:rPr>
        </w:r>
        <w:r w:rsidR="00F0133B">
          <w:rPr>
            <w:noProof/>
            <w:webHidden/>
          </w:rPr>
          <w:fldChar w:fldCharType="separate"/>
        </w:r>
        <w:r w:rsidR="00F0133B">
          <w:rPr>
            <w:noProof/>
            <w:webHidden/>
          </w:rPr>
          <w:t>10</w:t>
        </w:r>
        <w:r w:rsidR="00F0133B">
          <w:rPr>
            <w:noProof/>
            <w:webHidden/>
          </w:rPr>
          <w:fldChar w:fldCharType="end"/>
        </w:r>
      </w:hyperlink>
    </w:p>
    <w:p w14:paraId="294A5A69" w14:textId="77777777" w:rsidR="00F0133B" w:rsidRDefault="00932E8B">
      <w:pPr>
        <w:pStyle w:val="TableofFigures"/>
        <w:tabs>
          <w:tab w:val="right" w:leader="dot" w:pos="9016"/>
        </w:tabs>
        <w:rPr>
          <w:noProof/>
          <w:lang w:val="fr-FR" w:eastAsia="fr-FR"/>
        </w:rPr>
      </w:pPr>
      <w:hyperlink w:anchor="_Toc389213000" w:history="1">
        <w:r w:rsidR="00F0133B" w:rsidRPr="005B3522">
          <w:rPr>
            <w:rStyle w:val="Hyperlink"/>
            <w:noProof/>
          </w:rPr>
          <w:t>Figure 4</w:t>
        </w:r>
        <w:r w:rsidR="00F0133B" w:rsidRPr="005B3522">
          <w:rPr>
            <w:rStyle w:val="Hyperlink"/>
            <w:rFonts w:ascii="Calibri" w:eastAsia="Times New Roman" w:hAnsi="Calibri" w:cs="Times New Roman"/>
            <w:noProof/>
            <w:lang w:val="en-GB" w:eastAsia="fr-FR"/>
          </w:rPr>
          <w:t xml:space="preserve">: </w:t>
        </w:r>
        <w:r w:rsidR="00F0133B" w:rsidRPr="005B3522">
          <w:rPr>
            <w:rStyle w:val="Hyperlink"/>
            <w:noProof/>
          </w:rPr>
          <w:t>average CO2 per capita, 1992-2010</w:t>
        </w:r>
        <w:r w:rsidR="00F0133B">
          <w:rPr>
            <w:noProof/>
            <w:webHidden/>
          </w:rPr>
          <w:tab/>
        </w:r>
        <w:r w:rsidR="00F0133B">
          <w:rPr>
            <w:noProof/>
            <w:webHidden/>
          </w:rPr>
          <w:fldChar w:fldCharType="begin"/>
        </w:r>
        <w:r w:rsidR="00F0133B">
          <w:rPr>
            <w:noProof/>
            <w:webHidden/>
          </w:rPr>
          <w:instrText xml:space="preserve"> PAGEREF _Toc389213000 \h </w:instrText>
        </w:r>
        <w:r w:rsidR="00F0133B">
          <w:rPr>
            <w:noProof/>
            <w:webHidden/>
          </w:rPr>
        </w:r>
        <w:r w:rsidR="00F0133B">
          <w:rPr>
            <w:noProof/>
            <w:webHidden/>
          </w:rPr>
          <w:fldChar w:fldCharType="separate"/>
        </w:r>
        <w:r w:rsidR="00F0133B">
          <w:rPr>
            <w:noProof/>
            <w:webHidden/>
          </w:rPr>
          <w:t>10</w:t>
        </w:r>
        <w:r w:rsidR="00F0133B">
          <w:rPr>
            <w:noProof/>
            <w:webHidden/>
          </w:rPr>
          <w:fldChar w:fldCharType="end"/>
        </w:r>
      </w:hyperlink>
    </w:p>
    <w:p w14:paraId="247B4224" w14:textId="77777777" w:rsidR="00F0133B" w:rsidRDefault="00932E8B">
      <w:pPr>
        <w:pStyle w:val="TableofFigures"/>
        <w:tabs>
          <w:tab w:val="right" w:leader="dot" w:pos="9016"/>
        </w:tabs>
        <w:rPr>
          <w:noProof/>
          <w:lang w:val="fr-FR" w:eastAsia="fr-FR"/>
        </w:rPr>
      </w:pPr>
      <w:hyperlink w:anchor="_Toc389213001" w:history="1">
        <w:r w:rsidR="00F0133B" w:rsidRPr="005B3522">
          <w:rPr>
            <w:rStyle w:val="Hyperlink"/>
            <w:noProof/>
          </w:rPr>
          <w:t>Figure 5: Comparison of past projections of emissions with historical data</w:t>
        </w:r>
        <w:r w:rsidR="00F0133B">
          <w:rPr>
            <w:noProof/>
            <w:webHidden/>
          </w:rPr>
          <w:tab/>
        </w:r>
        <w:r w:rsidR="00F0133B">
          <w:rPr>
            <w:noProof/>
            <w:webHidden/>
          </w:rPr>
          <w:fldChar w:fldCharType="begin"/>
        </w:r>
        <w:r w:rsidR="00F0133B">
          <w:rPr>
            <w:noProof/>
            <w:webHidden/>
          </w:rPr>
          <w:instrText xml:space="preserve"> PAGEREF _Toc389213001 \h </w:instrText>
        </w:r>
        <w:r w:rsidR="00F0133B">
          <w:rPr>
            <w:noProof/>
            <w:webHidden/>
          </w:rPr>
        </w:r>
        <w:r w:rsidR="00F0133B">
          <w:rPr>
            <w:noProof/>
            <w:webHidden/>
          </w:rPr>
          <w:fldChar w:fldCharType="separate"/>
        </w:r>
        <w:r w:rsidR="00F0133B">
          <w:rPr>
            <w:noProof/>
            <w:webHidden/>
          </w:rPr>
          <w:t>12</w:t>
        </w:r>
        <w:r w:rsidR="00F0133B">
          <w:rPr>
            <w:noProof/>
            <w:webHidden/>
          </w:rPr>
          <w:fldChar w:fldCharType="end"/>
        </w:r>
      </w:hyperlink>
    </w:p>
    <w:p w14:paraId="27A52A4F" w14:textId="77777777" w:rsidR="00F0133B" w:rsidRDefault="00932E8B">
      <w:pPr>
        <w:pStyle w:val="TableofFigures"/>
        <w:tabs>
          <w:tab w:val="right" w:leader="dot" w:pos="9016"/>
        </w:tabs>
        <w:rPr>
          <w:noProof/>
          <w:lang w:val="fr-FR" w:eastAsia="fr-FR"/>
        </w:rPr>
      </w:pPr>
      <w:hyperlink w:anchor="_Toc389213002" w:history="1">
        <w:r w:rsidR="00F0133B" w:rsidRPr="005B3522">
          <w:rPr>
            <w:rStyle w:val="Hyperlink"/>
            <w:noProof/>
          </w:rPr>
          <w:t>Figure 6: number of countries with economy-wide targets by target type</w:t>
        </w:r>
        <w:r w:rsidR="00F0133B">
          <w:rPr>
            <w:noProof/>
            <w:webHidden/>
          </w:rPr>
          <w:tab/>
        </w:r>
        <w:r w:rsidR="00F0133B">
          <w:rPr>
            <w:noProof/>
            <w:webHidden/>
          </w:rPr>
          <w:fldChar w:fldCharType="begin"/>
        </w:r>
        <w:r w:rsidR="00F0133B">
          <w:rPr>
            <w:noProof/>
            <w:webHidden/>
          </w:rPr>
          <w:instrText xml:space="preserve"> PAGEREF _Toc389213002 \h </w:instrText>
        </w:r>
        <w:r w:rsidR="00F0133B">
          <w:rPr>
            <w:noProof/>
            <w:webHidden/>
          </w:rPr>
        </w:r>
        <w:r w:rsidR="00F0133B">
          <w:rPr>
            <w:noProof/>
            <w:webHidden/>
          </w:rPr>
          <w:fldChar w:fldCharType="separate"/>
        </w:r>
        <w:r w:rsidR="00F0133B">
          <w:rPr>
            <w:noProof/>
            <w:webHidden/>
          </w:rPr>
          <w:t>15</w:t>
        </w:r>
        <w:r w:rsidR="00F0133B">
          <w:rPr>
            <w:noProof/>
            <w:webHidden/>
          </w:rPr>
          <w:fldChar w:fldCharType="end"/>
        </w:r>
      </w:hyperlink>
    </w:p>
    <w:p w14:paraId="0654DA44" w14:textId="77777777" w:rsidR="00F0133B" w:rsidRDefault="00932E8B">
      <w:pPr>
        <w:pStyle w:val="TableofFigures"/>
        <w:tabs>
          <w:tab w:val="right" w:leader="dot" w:pos="9016"/>
        </w:tabs>
        <w:rPr>
          <w:noProof/>
          <w:lang w:val="fr-FR" w:eastAsia="fr-FR"/>
        </w:rPr>
      </w:pPr>
      <w:hyperlink w:anchor="_Toc389213003" w:history="1">
        <w:r w:rsidR="00F0133B" w:rsidRPr="005B3522">
          <w:rPr>
            <w:rStyle w:val="Hyperlink"/>
            <w:noProof/>
          </w:rPr>
          <w:t>Figure 7: number of countries with sectoral targets by sector and target type</w:t>
        </w:r>
        <w:r w:rsidR="00F0133B">
          <w:rPr>
            <w:noProof/>
            <w:webHidden/>
          </w:rPr>
          <w:tab/>
        </w:r>
        <w:r w:rsidR="00F0133B">
          <w:rPr>
            <w:noProof/>
            <w:webHidden/>
          </w:rPr>
          <w:fldChar w:fldCharType="begin"/>
        </w:r>
        <w:r w:rsidR="00F0133B">
          <w:rPr>
            <w:noProof/>
            <w:webHidden/>
          </w:rPr>
          <w:instrText xml:space="preserve"> PAGEREF _Toc389213003 \h </w:instrText>
        </w:r>
        <w:r w:rsidR="00F0133B">
          <w:rPr>
            <w:noProof/>
            <w:webHidden/>
          </w:rPr>
        </w:r>
        <w:r w:rsidR="00F0133B">
          <w:rPr>
            <w:noProof/>
            <w:webHidden/>
          </w:rPr>
          <w:fldChar w:fldCharType="separate"/>
        </w:r>
        <w:r w:rsidR="00F0133B">
          <w:rPr>
            <w:noProof/>
            <w:webHidden/>
          </w:rPr>
          <w:t>15</w:t>
        </w:r>
        <w:r w:rsidR="00F0133B">
          <w:rPr>
            <w:noProof/>
            <w:webHidden/>
          </w:rPr>
          <w:fldChar w:fldCharType="end"/>
        </w:r>
      </w:hyperlink>
    </w:p>
    <w:p w14:paraId="004613B6" w14:textId="77777777" w:rsidR="00F0133B" w:rsidRDefault="00932E8B">
      <w:pPr>
        <w:pStyle w:val="TableofFigures"/>
        <w:tabs>
          <w:tab w:val="right" w:leader="dot" w:pos="9016"/>
        </w:tabs>
        <w:rPr>
          <w:noProof/>
          <w:lang w:val="fr-FR" w:eastAsia="fr-FR"/>
        </w:rPr>
      </w:pPr>
      <w:hyperlink w:anchor="_Toc389213004" w:history="1">
        <w:r w:rsidR="00F0133B" w:rsidRPr="005B3522">
          <w:rPr>
            <w:rStyle w:val="Hyperlink"/>
            <w:noProof/>
          </w:rPr>
          <w:t>Figure 8: deep decarbonisation pathways plus a ‘five-plus-five’ predictable target period structure</w:t>
        </w:r>
        <w:r w:rsidR="00F0133B">
          <w:rPr>
            <w:noProof/>
            <w:webHidden/>
          </w:rPr>
          <w:tab/>
        </w:r>
        <w:r w:rsidR="00F0133B">
          <w:rPr>
            <w:noProof/>
            <w:webHidden/>
          </w:rPr>
          <w:fldChar w:fldCharType="begin"/>
        </w:r>
        <w:r w:rsidR="00F0133B">
          <w:rPr>
            <w:noProof/>
            <w:webHidden/>
          </w:rPr>
          <w:instrText xml:space="preserve"> PAGEREF _Toc389213004 \h </w:instrText>
        </w:r>
        <w:r w:rsidR="00F0133B">
          <w:rPr>
            <w:noProof/>
            <w:webHidden/>
          </w:rPr>
        </w:r>
        <w:r w:rsidR="00F0133B">
          <w:rPr>
            <w:noProof/>
            <w:webHidden/>
          </w:rPr>
          <w:fldChar w:fldCharType="separate"/>
        </w:r>
        <w:r w:rsidR="00F0133B">
          <w:rPr>
            <w:noProof/>
            <w:webHidden/>
          </w:rPr>
          <w:t>18</w:t>
        </w:r>
        <w:r w:rsidR="00F0133B">
          <w:rPr>
            <w:noProof/>
            <w:webHidden/>
          </w:rPr>
          <w:fldChar w:fldCharType="end"/>
        </w:r>
      </w:hyperlink>
    </w:p>
    <w:p w14:paraId="01E9D385" w14:textId="77777777" w:rsidR="00152192" w:rsidRDefault="00152192">
      <w:pPr>
        <w:rPr>
          <w:lang w:val="en-GB"/>
        </w:rPr>
      </w:pPr>
      <w:r>
        <w:rPr>
          <w:lang w:val="en-GB"/>
        </w:rPr>
        <w:fldChar w:fldCharType="end"/>
      </w:r>
    </w:p>
    <w:p w14:paraId="723A1AF9" w14:textId="77777777" w:rsidR="00F0133B" w:rsidRDefault="00152192">
      <w:pPr>
        <w:pStyle w:val="TableofFigures"/>
        <w:tabs>
          <w:tab w:val="right" w:leader="dot" w:pos="9016"/>
        </w:tabs>
        <w:rPr>
          <w:noProof/>
          <w:lang w:val="fr-FR" w:eastAsia="fr-FR"/>
        </w:rPr>
      </w:pPr>
      <w:r>
        <w:rPr>
          <w:lang w:val="en-GB"/>
        </w:rPr>
        <w:fldChar w:fldCharType="begin"/>
      </w:r>
      <w:r>
        <w:rPr>
          <w:lang w:val="en-GB"/>
        </w:rPr>
        <w:instrText xml:space="preserve"> TOC \h \z \c "Table" </w:instrText>
      </w:r>
      <w:r>
        <w:rPr>
          <w:lang w:val="en-GB"/>
        </w:rPr>
        <w:fldChar w:fldCharType="separate"/>
      </w:r>
      <w:hyperlink w:anchor="_Toc389213006" w:history="1">
        <w:r w:rsidR="00F0133B" w:rsidRPr="00F360A4">
          <w:rPr>
            <w:rStyle w:val="Hyperlink"/>
            <w:noProof/>
            <w:lang w:val="en-GB"/>
          </w:rPr>
          <w:t>Table 1: Macroeconomic and sectoral Kaya identity and example mitigation strategies</w:t>
        </w:r>
        <w:r w:rsidR="00F0133B">
          <w:rPr>
            <w:noProof/>
            <w:webHidden/>
          </w:rPr>
          <w:tab/>
        </w:r>
        <w:r w:rsidR="00F0133B">
          <w:rPr>
            <w:noProof/>
            <w:webHidden/>
          </w:rPr>
          <w:fldChar w:fldCharType="begin"/>
        </w:r>
        <w:r w:rsidR="00F0133B">
          <w:rPr>
            <w:noProof/>
            <w:webHidden/>
          </w:rPr>
          <w:instrText xml:space="preserve"> PAGEREF _Toc389213006 \h </w:instrText>
        </w:r>
        <w:r w:rsidR="00F0133B">
          <w:rPr>
            <w:noProof/>
            <w:webHidden/>
          </w:rPr>
        </w:r>
        <w:r w:rsidR="00F0133B">
          <w:rPr>
            <w:noProof/>
            <w:webHidden/>
          </w:rPr>
          <w:fldChar w:fldCharType="separate"/>
        </w:r>
        <w:r w:rsidR="00F0133B">
          <w:rPr>
            <w:noProof/>
            <w:webHidden/>
          </w:rPr>
          <w:t>13</w:t>
        </w:r>
        <w:r w:rsidR="00F0133B">
          <w:rPr>
            <w:noProof/>
            <w:webHidden/>
          </w:rPr>
          <w:fldChar w:fldCharType="end"/>
        </w:r>
      </w:hyperlink>
    </w:p>
    <w:p w14:paraId="3A29AFA1" w14:textId="77777777" w:rsidR="00F0133B" w:rsidRDefault="00932E8B">
      <w:pPr>
        <w:pStyle w:val="TableofFigures"/>
        <w:tabs>
          <w:tab w:val="right" w:leader="dot" w:pos="9016"/>
        </w:tabs>
        <w:rPr>
          <w:noProof/>
          <w:lang w:val="fr-FR" w:eastAsia="fr-FR"/>
        </w:rPr>
      </w:pPr>
      <w:hyperlink w:anchor="_Toc389213007" w:history="1">
        <w:r w:rsidR="00F0133B" w:rsidRPr="00F360A4">
          <w:rPr>
            <w:rStyle w:val="Hyperlink"/>
            <w:noProof/>
          </w:rPr>
          <w:t>Table 2: target template for the three tiers</w:t>
        </w:r>
        <w:r w:rsidR="00F0133B">
          <w:rPr>
            <w:noProof/>
            <w:webHidden/>
          </w:rPr>
          <w:tab/>
        </w:r>
        <w:r w:rsidR="00F0133B">
          <w:rPr>
            <w:noProof/>
            <w:webHidden/>
          </w:rPr>
          <w:fldChar w:fldCharType="begin"/>
        </w:r>
        <w:r w:rsidR="00F0133B">
          <w:rPr>
            <w:noProof/>
            <w:webHidden/>
          </w:rPr>
          <w:instrText xml:space="preserve"> PAGEREF _Toc389213007 \h </w:instrText>
        </w:r>
        <w:r w:rsidR="00F0133B">
          <w:rPr>
            <w:noProof/>
            <w:webHidden/>
          </w:rPr>
        </w:r>
        <w:r w:rsidR="00F0133B">
          <w:rPr>
            <w:noProof/>
            <w:webHidden/>
          </w:rPr>
          <w:fldChar w:fldCharType="separate"/>
        </w:r>
        <w:r w:rsidR="00F0133B">
          <w:rPr>
            <w:noProof/>
            <w:webHidden/>
          </w:rPr>
          <w:t>20</w:t>
        </w:r>
        <w:r w:rsidR="00F0133B">
          <w:rPr>
            <w:noProof/>
            <w:webHidden/>
          </w:rPr>
          <w:fldChar w:fldCharType="end"/>
        </w:r>
      </w:hyperlink>
    </w:p>
    <w:p w14:paraId="052AF98F" w14:textId="77777777" w:rsidR="001D3F15" w:rsidRDefault="00152192">
      <w:pPr>
        <w:rPr>
          <w:lang w:val="en-GB"/>
        </w:rPr>
      </w:pPr>
      <w:r>
        <w:rPr>
          <w:lang w:val="en-GB"/>
        </w:rPr>
        <w:fldChar w:fldCharType="end"/>
      </w:r>
    </w:p>
    <w:p w14:paraId="4726D2B7" w14:textId="77777777" w:rsidR="001600F8" w:rsidRDefault="001600F8">
      <w:pPr>
        <w:rPr>
          <w:lang w:val="en-GB"/>
        </w:rPr>
      </w:pPr>
    </w:p>
    <w:p w14:paraId="376E889A" w14:textId="77777777" w:rsidR="001600F8" w:rsidRDefault="001600F8">
      <w:pPr>
        <w:rPr>
          <w:lang w:val="en-GB"/>
        </w:rPr>
      </w:pPr>
    </w:p>
    <w:p w14:paraId="267B58C9" w14:textId="77777777" w:rsidR="001600F8" w:rsidRDefault="001600F8">
      <w:pPr>
        <w:rPr>
          <w:lang w:val="en-GB"/>
        </w:rPr>
      </w:pPr>
    </w:p>
    <w:p w14:paraId="6509CC84" w14:textId="77777777" w:rsidR="001600F8" w:rsidRDefault="001600F8">
      <w:pPr>
        <w:rPr>
          <w:lang w:val="en-GB"/>
        </w:rPr>
      </w:pPr>
    </w:p>
    <w:p w14:paraId="43F7D851" w14:textId="77777777" w:rsidR="001600F8" w:rsidRDefault="001600F8">
      <w:pPr>
        <w:rPr>
          <w:lang w:val="en-GB"/>
        </w:rPr>
      </w:pPr>
    </w:p>
    <w:p w14:paraId="163278A4" w14:textId="77777777" w:rsidR="001600F8" w:rsidRDefault="001600F8">
      <w:pPr>
        <w:rPr>
          <w:lang w:val="en-GB"/>
        </w:rPr>
      </w:pPr>
    </w:p>
    <w:p w14:paraId="294ADD8F" w14:textId="77777777" w:rsidR="001600F8" w:rsidRDefault="001600F8">
      <w:pPr>
        <w:rPr>
          <w:lang w:val="en-GB"/>
        </w:rPr>
      </w:pPr>
    </w:p>
    <w:p w14:paraId="11634EFE" w14:textId="77777777" w:rsidR="00BA0EDC" w:rsidRDefault="00BA0EDC">
      <w:pPr>
        <w:rPr>
          <w:lang w:val="en-GB"/>
        </w:rPr>
      </w:pPr>
    </w:p>
    <w:p w14:paraId="29DA1A46" w14:textId="77777777" w:rsidR="00BA0EDC" w:rsidRDefault="00BA0EDC">
      <w:pPr>
        <w:rPr>
          <w:lang w:val="en-GB"/>
        </w:rPr>
      </w:pPr>
    </w:p>
    <w:p w14:paraId="2F2ECB85" w14:textId="77777777" w:rsidR="00BA0EDC" w:rsidRDefault="00BA0EDC">
      <w:pPr>
        <w:rPr>
          <w:lang w:val="en-GB"/>
        </w:rPr>
      </w:pPr>
    </w:p>
    <w:p w14:paraId="314269DC" w14:textId="77777777" w:rsidR="00BA0EDC" w:rsidRDefault="00BA0EDC">
      <w:pPr>
        <w:rPr>
          <w:lang w:val="en-GB"/>
        </w:rPr>
      </w:pPr>
    </w:p>
    <w:p w14:paraId="5BE3EDC5" w14:textId="77777777" w:rsidR="00BA0EDC" w:rsidRDefault="00BA0EDC">
      <w:pPr>
        <w:rPr>
          <w:lang w:val="en-GB"/>
        </w:rPr>
      </w:pPr>
    </w:p>
    <w:p w14:paraId="52257808" w14:textId="77777777" w:rsidR="00BA0EDC" w:rsidRDefault="00BA0EDC">
      <w:pPr>
        <w:rPr>
          <w:lang w:val="en-GB"/>
        </w:rPr>
      </w:pPr>
    </w:p>
    <w:p w14:paraId="0D187DC1" w14:textId="77777777" w:rsidR="00CE6193" w:rsidRDefault="00CE6193">
      <w:pPr>
        <w:rPr>
          <w:lang w:val="en-GB"/>
        </w:rPr>
      </w:pPr>
    </w:p>
    <w:p w14:paraId="7F9CFC5F" w14:textId="77777777" w:rsidR="00CE6193" w:rsidRDefault="00CE6193">
      <w:pPr>
        <w:rPr>
          <w:lang w:val="en-GB"/>
        </w:rPr>
      </w:pPr>
    </w:p>
    <w:p w14:paraId="448ACF9C" w14:textId="77777777" w:rsidR="00CE6193" w:rsidRDefault="00CE6193">
      <w:pPr>
        <w:rPr>
          <w:lang w:val="en-GB"/>
        </w:rPr>
      </w:pPr>
    </w:p>
    <w:p w14:paraId="1C4B5A55" w14:textId="77777777" w:rsidR="00CE6193" w:rsidRDefault="00CE6193">
      <w:pPr>
        <w:rPr>
          <w:lang w:val="en-GB"/>
        </w:rPr>
      </w:pPr>
    </w:p>
    <w:p w14:paraId="268D9B41" w14:textId="77777777" w:rsidR="001D3F15" w:rsidRDefault="001D3F15" w:rsidP="00BA0EDC">
      <w:pPr>
        <w:pStyle w:val="Heading1"/>
        <w:numPr>
          <w:ilvl w:val="0"/>
          <w:numId w:val="0"/>
        </w:numPr>
        <w:rPr>
          <w:lang w:val="en-GB"/>
        </w:rPr>
      </w:pPr>
      <w:bookmarkStart w:id="2" w:name="_Toc389461670"/>
      <w:r>
        <w:rPr>
          <w:lang w:val="en-GB"/>
        </w:rPr>
        <w:lastRenderedPageBreak/>
        <w:t>Forward</w:t>
      </w:r>
      <w:bookmarkEnd w:id="2"/>
      <w:r>
        <w:rPr>
          <w:lang w:val="en-GB"/>
        </w:rPr>
        <w:t xml:space="preserve"> </w:t>
      </w:r>
    </w:p>
    <w:p w14:paraId="28A17578" w14:textId="015418D6" w:rsidR="001D3D1E" w:rsidRDefault="001D3F15">
      <w:pPr>
        <w:rPr>
          <w:lang w:val="en-GB"/>
        </w:rPr>
      </w:pPr>
      <w:r>
        <w:rPr>
          <w:lang w:val="en-GB"/>
        </w:rPr>
        <w:t>This paper is the fruit of many months of intensive collaboration between the authors, on the basis of the Memorandum of Understanding signed between the Institute of Sustainable Development and International Relations</w:t>
      </w:r>
      <w:r w:rsidR="001D3D1E">
        <w:rPr>
          <w:lang w:val="en-GB"/>
        </w:rPr>
        <w:t xml:space="preserve"> (IDDRI)</w:t>
      </w:r>
      <w:r>
        <w:rPr>
          <w:lang w:val="en-GB"/>
        </w:rPr>
        <w:t xml:space="preserve"> and the National Centre for Climate Strategy and International Cooperation</w:t>
      </w:r>
      <w:r w:rsidR="00F628DB">
        <w:rPr>
          <w:lang w:val="en-GB"/>
        </w:rPr>
        <w:t xml:space="preserve"> of China</w:t>
      </w:r>
      <w:r>
        <w:rPr>
          <w:lang w:val="en-GB"/>
        </w:rPr>
        <w:t xml:space="preserve"> (NCSC)</w:t>
      </w:r>
      <w:r w:rsidR="001D3D1E">
        <w:rPr>
          <w:lang w:val="en-GB"/>
        </w:rPr>
        <w:t xml:space="preserve"> in December 2013</w:t>
      </w:r>
      <w:r>
        <w:rPr>
          <w:lang w:val="en-GB"/>
        </w:rPr>
        <w:t>.</w:t>
      </w:r>
      <w:r w:rsidR="001D3D1E">
        <w:rPr>
          <w:lang w:val="en-GB"/>
        </w:rPr>
        <w:t xml:space="preserve"> </w:t>
      </w:r>
    </w:p>
    <w:p w14:paraId="26793650" w14:textId="54F2A03A" w:rsidR="00D9418D" w:rsidRDefault="001D3D1E">
      <w:pPr>
        <w:rPr>
          <w:lang w:val="en-GB"/>
        </w:rPr>
      </w:pPr>
      <w:r>
        <w:rPr>
          <w:lang w:val="en-GB"/>
        </w:rPr>
        <w:t>It represents the efforts of the authors to propose a comprehensive and ambitious framework for mitigation in the new 2015 climate agreement. As with all collaborations, there has been much discussion, learning and a spirit of problem solving to achieve this text.</w:t>
      </w:r>
      <w:r w:rsidR="00F025B9">
        <w:rPr>
          <w:lang w:val="en-GB"/>
        </w:rPr>
        <w:t xml:space="preserve"> It is a significant achievement for two groups of authors from China and Europe to have come this far. </w:t>
      </w:r>
      <w:r>
        <w:rPr>
          <w:lang w:val="en-GB"/>
        </w:rPr>
        <w:t xml:space="preserve">There is much that can be learnt from this process for the global negotiations.   </w:t>
      </w:r>
    </w:p>
    <w:p w14:paraId="2F23AF72" w14:textId="77777777" w:rsidR="00F025B9" w:rsidRDefault="00D9418D">
      <w:pPr>
        <w:rPr>
          <w:lang w:val="en-GB"/>
        </w:rPr>
      </w:pPr>
      <w:r>
        <w:rPr>
          <w:lang w:val="en-GB"/>
        </w:rPr>
        <w:t>The global negotiations are moving into a new and important phase. Parties have agreed to put forward the elements of a draft text in Lima in 2014, in order to propose a draft agreement six months before the crucial Paris conference in 2015.</w:t>
      </w:r>
      <w:r w:rsidR="00F025B9">
        <w:rPr>
          <w:lang w:val="en-GB"/>
        </w:rPr>
        <w:t xml:space="preserve"> </w:t>
      </w:r>
    </w:p>
    <w:p w14:paraId="57EE8449" w14:textId="70040D17" w:rsidR="00D9418D" w:rsidRDefault="00F025B9">
      <w:pPr>
        <w:rPr>
          <w:lang w:val="en-GB"/>
        </w:rPr>
      </w:pPr>
      <w:r>
        <w:rPr>
          <w:lang w:val="en-GB"/>
        </w:rPr>
        <w:t xml:space="preserve">Part of the challenge is to define a new framework for mitigation, among the other elements of the agreement. </w:t>
      </w:r>
      <w:r w:rsidR="00D9418D">
        <w:rPr>
          <w:lang w:val="en-GB"/>
        </w:rPr>
        <w:t xml:space="preserve"> </w:t>
      </w:r>
      <w:r>
        <w:rPr>
          <w:lang w:val="en-GB"/>
        </w:rPr>
        <w:t>This framework will need to recognize the realities of different circumstances and interests in sovereign states, the international legal</w:t>
      </w:r>
      <w:r w:rsidR="00CE6193">
        <w:rPr>
          <w:lang w:val="en-GB"/>
        </w:rPr>
        <w:t xml:space="preserve"> and institutional</w:t>
      </w:r>
      <w:r>
        <w:rPr>
          <w:lang w:val="en-GB"/>
        </w:rPr>
        <w:t xml:space="preserve"> tools that can be mobilized, and the urgency of limiting warming to 2˚C. It will need to be equitable, ambitious, effective and dynamic.  </w:t>
      </w:r>
    </w:p>
    <w:p w14:paraId="09FA858D" w14:textId="787635D8" w:rsidR="00F025B9" w:rsidRDefault="00F025B9">
      <w:pPr>
        <w:rPr>
          <w:lang w:val="en-GB"/>
        </w:rPr>
      </w:pPr>
      <w:r>
        <w:rPr>
          <w:lang w:val="en-GB"/>
        </w:rPr>
        <w:t xml:space="preserve">This paper represents the authors’ attempt to meet that challenge </w:t>
      </w:r>
      <w:r w:rsidR="00F628DB">
        <w:rPr>
          <w:lang w:val="en-GB"/>
        </w:rPr>
        <w:t xml:space="preserve">and contribute to the global discussion on effective responses to the common challenge of climate change. </w:t>
      </w:r>
    </w:p>
    <w:p w14:paraId="404A7BDD" w14:textId="21ED2540" w:rsidR="00F86E3A" w:rsidRDefault="00F86E3A">
      <w:pPr>
        <w:rPr>
          <w:lang w:val="en-GB"/>
        </w:rPr>
      </w:pPr>
      <w:r>
        <w:rPr>
          <w:lang w:val="en-GB"/>
        </w:rPr>
        <w:t>This paper has benefited enormously from discussion with many colleagues,</w:t>
      </w:r>
      <w:r w:rsidR="000F1C06">
        <w:rPr>
          <w:lang w:val="en-GB"/>
        </w:rPr>
        <w:t xml:space="preserve"> in many contexts. We would like to thank</w:t>
      </w:r>
      <w:r>
        <w:rPr>
          <w:lang w:val="en-GB"/>
        </w:rPr>
        <w:t xml:space="preserve"> Emmanuel </w:t>
      </w:r>
      <w:proofErr w:type="spellStart"/>
      <w:r>
        <w:rPr>
          <w:lang w:val="en-GB"/>
        </w:rPr>
        <w:t>Gu</w:t>
      </w:r>
      <w:r w:rsidRPr="00BA0EDC">
        <w:rPr>
          <w:lang w:val="en-GB"/>
        </w:rPr>
        <w:t>é</w:t>
      </w:r>
      <w:r>
        <w:rPr>
          <w:lang w:val="en-GB"/>
        </w:rPr>
        <w:t>rin</w:t>
      </w:r>
      <w:proofErr w:type="spellEnd"/>
      <w:r w:rsidR="000F1C06">
        <w:rPr>
          <w:lang w:val="en-GB"/>
        </w:rPr>
        <w:t xml:space="preserve"> (SDSN),</w:t>
      </w:r>
      <w:r>
        <w:rPr>
          <w:lang w:val="en-GB"/>
        </w:rPr>
        <w:t xml:space="preserve"> as well as Teresa Ribera, Henri </w:t>
      </w:r>
      <w:proofErr w:type="spellStart"/>
      <w:r>
        <w:rPr>
          <w:lang w:val="en-GB"/>
        </w:rPr>
        <w:t>Waisman</w:t>
      </w:r>
      <w:proofErr w:type="spellEnd"/>
      <w:r>
        <w:rPr>
          <w:lang w:val="en-GB"/>
        </w:rPr>
        <w:t xml:space="preserve">, Michel </w:t>
      </w:r>
      <w:proofErr w:type="spellStart"/>
      <w:r>
        <w:rPr>
          <w:lang w:val="en-GB"/>
        </w:rPr>
        <w:t>Colombier</w:t>
      </w:r>
      <w:proofErr w:type="spellEnd"/>
      <w:r>
        <w:rPr>
          <w:lang w:val="en-GB"/>
        </w:rPr>
        <w:t>, and Michael Jacobs</w:t>
      </w:r>
      <w:r w:rsidR="001600F8">
        <w:rPr>
          <w:lang w:val="en-GB"/>
        </w:rPr>
        <w:t xml:space="preserve"> at IDDRI</w:t>
      </w:r>
      <w:r>
        <w:rPr>
          <w:lang w:val="en-GB"/>
        </w:rPr>
        <w:t xml:space="preserve">. The authors would like to thank </w:t>
      </w:r>
      <w:proofErr w:type="spellStart"/>
      <w:r>
        <w:rPr>
          <w:lang w:val="en-GB"/>
        </w:rPr>
        <w:t>Mathilde</w:t>
      </w:r>
      <w:proofErr w:type="spellEnd"/>
      <w:r>
        <w:rPr>
          <w:lang w:val="en-GB"/>
        </w:rPr>
        <w:t xml:space="preserve"> Mathieu for her research assistance.  </w:t>
      </w:r>
    </w:p>
    <w:p w14:paraId="1289255E" w14:textId="77777777" w:rsidR="00CB6E9F" w:rsidRDefault="00CB6E9F">
      <w:pPr>
        <w:rPr>
          <w:lang w:val="en-GB"/>
        </w:rPr>
      </w:pPr>
    </w:p>
    <w:p w14:paraId="1C3CBF0E" w14:textId="77777777" w:rsidR="001600F8" w:rsidRDefault="001600F8">
      <w:pPr>
        <w:rPr>
          <w:lang w:val="en-GB"/>
        </w:rPr>
      </w:pPr>
    </w:p>
    <w:p w14:paraId="17DBC427" w14:textId="77777777" w:rsidR="00F0133B" w:rsidRDefault="00F0133B">
      <w:pPr>
        <w:rPr>
          <w:rFonts w:asciiTheme="majorHAnsi" w:eastAsiaTheme="majorEastAsia" w:hAnsiTheme="majorHAnsi" w:cstheme="majorBidi"/>
          <w:b/>
          <w:bCs/>
          <w:color w:val="365F91" w:themeColor="accent1" w:themeShade="BF"/>
          <w:sz w:val="28"/>
          <w:szCs w:val="28"/>
          <w:lang w:val="en-GB"/>
        </w:rPr>
      </w:pPr>
      <w:r>
        <w:rPr>
          <w:lang w:val="en-GB"/>
        </w:rPr>
        <w:br w:type="page"/>
      </w:r>
    </w:p>
    <w:p w14:paraId="17C08105" w14:textId="02587DB9" w:rsidR="00CB6E9F" w:rsidRDefault="00CB6E9F" w:rsidP="00BA0EDC">
      <w:pPr>
        <w:pStyle w:val="Heading1"/>
        <w:numPr>
          <w:ilvl w:val="0"/>
          <w:numId w:val="0"/>
        </w:numPr>
        <w:rPr>
          <w:lang w:val="en-GB"/>
        </w:rPr>
      </w:pPr>
      <w:bookmarkStart w:id="3" w:name="_Toc389461671"/>
      <w:r>
        <w:rPr>
          <w:lang w:val="en-GB"/>
        </w:rPr>
        <w:lastRenderedPageBreak/>
        <w:t>Highlights</w:t>
      </w:r>
      <w:bookmarkEnd w:id="3"/>
      <w:r>
        <w:rPr>
          <w:lang w:val="en-GB"/>
        </w:rPr>
        <w:t xml:space="preserve"> </w:t>
      </w:r>
    </w:p>
    <w:p w14:paraId="6621019D" w14:textId="0B23724B" w:rsidR="00CB6E9F" w:rsidRPr="00F0133B" w:rsidRDefault="00CB6E9F" w:rsidP="00F0133B">
      <w:pPr>
        <w:rPr>
          <w:b/>
          <w:lang w:val="en-GB"/>
        </w:rPr>
      </w:pPr>
      <w:r w:rsidRPr="00BA0EDC">
        <w:rPr>
          <w:b/>
          <w:lang w:val="en-GB"/>
        </w:rPr>
        <w:t xml:space="preserve">The Mitigation Framework in the New Climate Agreement </w:t>
      </w:r>
    </w:p>
    <w:p w14:paraId="45887A93" w14:textId="2BAC27E5" w:rsidR="005A02F7" w:rsidRDefault="00CB6E9F" w:rsidP="00F0133B">
      <w:pPr>
        <w:rPr>
          <w:lang w:val="en-GB"/>
        </w:rPr>
      </w:pPr>
      <w:r w:rsidRPr="00BA0EDC">
        <w:rPr>
          <w:lang w:val="en-GB"/>
        </w:rPr>
        <w:t xml:space="preserve">Countries have agreed to negotiate a new climate agreement by 2015. One of the key elements of this will be a new mitigation framework and new emissions targets for all. </w:t>
      </w:r>
      <w:r w:rsidR="005A02F7" w:rsidRPr="00F0133B">
        <w:rPr>
          <w:lang w:val="en-GB"/>
        </w:rPr>
        <w:t>Enhanced action is urgently needed to limit warming to 2˚C. Otherwise, development and welfare will be put at significant risk. The new agreement nee</w:t>
      </w:r>
      <w:r w:rsidR="001600F8" w:rsidRPr="00F0133B">
        <w:rPr>
          <w:lang w:val="en-GB"/>
        </w:rPr>
        <w:t>ds to find a way to allow the continuous</w:t>
      </w:r>
      <w:r w:rsidR="005A02F7" w:rsidRPr="00F0133B">
        <w:rPr>
          <w:lang w:val="en-GB"/>
        </w:rPr>
        <w:t xml:space="preserve"> strengthen</w:t>
      </w:r>
      <w:r w:rsidR="001600F8" w:rsidRPr="00F0133B">
        <w:rPr>
          <w:lang w:val="en-GB"/>
        </w:rPr>
        <w:t>ing of</w:t>
      </w:r>
      <w:r w:rsidR="005A02F7" w:rsidRPr="00F0133B">
        <w:rPr>
          <w:lang w:val="en-GB"/>
        </w:rPr>
        <w:t xml:space="preserve"> the action of sovereign states, to reflect the 2˚C objective.</w:t>
      </w:r>
      <w:r w:rsidR="00280033" w:rsidRPr="00F0133B">
        <w:rPr>
          <w:lang w:val="en-GB"/>
        </w:rPr>
        <w:t xml:space="preserve"> The agreement should also recognize the spectrum of countries</w:t>
      </w:r>
      <w:r w:rsidR="006E6F17" w:rsidRPr="00F0133B">
        <w:rPr>
          <w:lang w:val="en-GB"/>
        </w:rPr>
        <w:t xml:space="preserve"> and changing circumstances</w:t>
      </w:r>
      <w:r w:rsidR="00280033" w:rsidRPr="00F0133B">
        <w:rPr>
          <w:lang w:val="en-GB"/>
        </w:rPr>
        <w:t>, as well as remaining gaps</w:t>
      </w:r>
      <w:r w:rsidR="00CD209A" w:rsidRPr="00F0133B">
        <w:rPr>
          <w:rFonts w:hint="eastAsia"/>
          <w:lang w:val="en-GB"/>
        </w:rPr>
        <w:t xml:space="preserve"> between groups</w:t>
      </w:r>
      <w:r w:rsidR="00280033" w:rsidRPr="00F0133B">
        <w:rPr>
          <w:lang w:val="en-GB"/>
        </w:rPr>
        <w:t>.</w:t>
      </w:r>
      <w:r w:rsidR="005A02F7" w:rsidRPr="00F0133B">
        <w:rPr>
          <w:lang w:val="en-GB"/>
        </w:rPr>
        <w:t xml:space="preserve"> </w:t>
      </w:r>
    </w:p>
    <w:p w14:paraId="0EBFD7B3" w14:textId="77777777" w:rsidR="005A02F7" w:rsidRDefault="005A02F7">
      <w:pPr>
        <w:rPr>
          <w:lang w:val="en-GB"/>
        </w:rPr>
      </w:pPr>
    </w:p>
    <w:p w14:paraId="70C295BD" w14:textId="1DC3836A" w:rsidR="005A02F7" w:rsidRPr="00BA0EDC" w:rsidRDefault="005A02F7">
      <w:pPr>
        <w:rPr>
          <w:b/>
          <w:lang w:val="en-GB"/>
        </w:rPr>
      </w:pPr>
      <w:r w:rsidRPr="00BA0EDC">
        <w:rPr>
          <w:b/>
          <w:lang w:val="en-GB"/>
        </w:rPr>
        <w:t xml:space="preserve">Climate Mitigation: Rebuilding the Machine from the Inside Out </w:t>
      </w:r>
    </w:p>
    <w:p w14:paraId="12FBE968" w14:textId="38A1FF8B" w:rsidR="001600F8" w:rsidRDefault="00280033">
      <w:pPr>
        <w:rPr>
          <w:lang w:val="en-GB"/>
        </w:rPr>
      </w:pPr>
      <w:r>
        <w:rPr>
          <w:lang w:val="en-GB"/>
        </w:rPr>
        <w:t>M</w:t>
      </w:r>
      <w:r w:rsidR="003B6E5F">
        <w:rPr>
          <w:lang w:val="en-GB"/>
        </w:rPr>
        <w:t>itigation is a long-term structural challenge, involving</w:t>
      </w:r>
      <w:r w:rsidR="00ED27E8">
        <w:rPr>
          <w:lang w:val="en-GB"/>
        </w:rPr>
        <w:t xml:space="preserve"> profound</w:t>
      </w:r>
      <w:r w:rsidR="003B6E5F">
        <w:rPr>
          <w:lang w:val="en-GB"/>
        </w:rPr>
        <w:t xml:space="preserve"> changes in investment, infrastructure, technology and behaviour</w:t>
      </w:r>
      <w:r w:rsidR="00ED27E8">
        <w:rPr>
          <w:lang w:val="en-GB"/>
        </w:rPr>
        <w:t>. Uncertainties in such structural processes may be particularly high in developing or emerging countries still undergoing industrialization, demographic shift, and urbanization.</w:t>
      </w:r>
      <w:r w:rsidR="001600F8">
        <w:rPr>
          <w:lang w:val="en-GB"/>
        </w:rPr>
        <w:t xml:space="preserve"> Mastering </w:t>
      </w:r>
      <w:r>
        <w:rPr>
          <w:lang w:val="en-GB"/>
        </w:rPr>
        <w:t>them</w:t>
      </w:r>
      <w:r w:rsidR="001600F8">
        <w:rPr>
          <w:lang w:val="en-GB"/>
        </w:rPr>
        <w:t xml:space="preserve"> requires long-term policy horizons, cooperation, technology innovation and policy learning</w:t>
      </w:r>
      <w:r w:rsidR="0081752F">
        <w:rPr>
          <w:lang w:val="en-GB"/>
        </w:rPr>
        <w:t>, focusing on the drivers of emissions reductions</w:t>
      </w:r>
      <w:r w:rsidR="001600F8">
        <w:rPr>
          <w:lang w:val="en-GB"/>
        </w:rPr>
        <w:t xml:space="preserve">. </w:t>
      </w:r>
    </w:p>
    <w:p w14:paraId="5BB2E88D" w14:textId="77777777" w:rsidR="001600F8" w:rsidRDefault="001600F8">
      <w:pPr>
        <w:rPr>
          <w:b/>
          <w:lang w:val="en-GB"/>
        </w:rPr>
      </w:pPr>
      <w:r>
        <w:rPr>
          <w:b/>
          <w:lang w:val="en-GB"/>
        </w:rPr>
        <w:t xml:space="preserve">From Targets to Pathways </w:t>
      </w:r>
    </w:p>
    <w:p w14:paraId="0CD3C239" w14:textId="548F1C31" w:rsidR="003B6E5F" w:rsidRPr="00BA0EDC" w:rsidRDefault="001600F8">
      <w:pPr>
        <w:rPr>
          <w:lang w:val="en-GB"/>
        </w:rPr>
      </w:pPr>
      <w:r w:rsidRPr="00BA0EDC">
        <w:rPr>
          <w:lang w:val="en-GB"/>
        </w:rPr>
        <w:t>The mitigation framework should consist of a more precise translation of the 2˚C target as a key directional reference</w:t>
      </w:r>
      <w:r>
        <w:rPr>
          <w:lang w:val="en-GB"/>
        </w:rPr>
        <w:t>, but not as the basis for top-down allocation</w:t>
      </w:r>
      <w:r w:rsidRPr="00BA0EDC">
        <w:rPr>
          <w:lang w:val="en-GB"/>
        </w:rPr>
        <w:t>.</w:t>
      </w:r>
      <w:r w:rsidR="0039278F">
        <w:rPr>
          <w:lang w:val="en-GB"/>
        </w:rPr>
        <w:t xml:space="preserve"> </w:t>
      </w:r>
      <w:r w:rsidR="00F870BB">
        <w:rPr>
          <w:lang w:val="en-GB"/>
        </w:rPr>
        <w:t>It is essential to integrate the long-term</w:t>
      </w:r>
      <w:r w:rsidR="00CE6193">
        <w:rPr>
          <w:lang w:val="en-GB"/>
        </w:rPr>
        <w:t xml:space="preserve"> perspective</w:t>
      </w:r>
      <w:r w:rsidR="00F870BB">
        <w:rPr>
          <w:lang w:val="en-GB"/>
        </w:rPr>
        <w:t xml:space="preserve"> i</w:t>
      </w:r>
      <w:r w:rsidR="0039278F">
        <w:rPr>
          <w:lang w:val="en-GB"/>
        </w:rPr>
        <w:t>n national policy making, international cooperation, and private sector anticipations. Under the new agreement, c</w:t>
      </w:r>
      <w:r>
        <w:rPr>
          <w:lang w:val="en-GB"/>
        </w:rPr>
        <w:t xml:space="preserve">ountries </w:t>
      </w:r>
      <w:r w:rsidR="00F744DF">
        <w:rPr>
          <w:rFonts w:hint="eastAsia"/>
          <w:lang w:val="en-GB" w:eastAsia="zh-CN"/>
        </w:rPr>
        <w:t xml:space="preserve">except </w:t>
      </w:r>
      <w:r w:rsidR="006E6F17">
        <w:rPr>
          <w:lang w:val="en-GB" w:eastAsia="zh-CN"/>
        </w:rPr>
        <w:t>L</w:t>
      </w:r>
      <w:r w:rsidR="00F744DF">
        <w:rPr>
          <w:rFonts w:hint="eastAsia"/>
          <w:lang w:val="en-GB" w:eastAsia="zh-CN"/>
        </w:rPr>
        <w:t xml:space="preserve">east </w:t>
      </w:r>
      <w:r w:rsidR="006E6F17">
        <w:rPr>
          <w:lang w:val="en-GB" w:eastAsia="zh-CN"/>
        </w:rPr>
        <w:t>D</w:t>
      </w:r>
      <w:r w:rsidR="00F744DF">
        <w:rPr>
          <w:lang w:val="en-GB" w:eastAsia="zh-CN"/>
        </w:rPr>
        <w:t>evelopment</w:t>
      </w:r>
      <w:r w:rsidR="00F744DF">
        <w:rPr>
          <w:rFonts w:hint="eastAsia"/>
          <w:lang w:val="en-GB" w:eastAsia="zh-CN"/>
        </w:rPr>
        <w:t xml:space="preserve"> </w:t>
      </w:r>
      <w:r w:rsidR="006E6F17">
        <w:rPr>
          <w:lang w:val="en-GB" w:eastAsia="zh-CN"/>
        </w:rPr>
        <w:t>C</w:t>
      </w:r>
      <w:r w:rsidR="00F744DF">
        <w:rPr>
          <w:rFonts w:hint="eastAsia"/>
          <w:lang w:val="en-GB" w:eastAsia="zh-CN"/>
        </w:rPr>
        <w:t xml:space="preserve">ountries </w:t>
      </w:r>
      <w:r w:rsidR="00F744DF">
        <w:rPr>
          <w:lang w:val="en-GB" w:eastAsia="zh-CN"/>
        </w:rPr>
        <w:t>would</w:t>
      </w:r>
      <w:r>
        <w:rPr>
          <w:lang w:val="en-GB"/>
        </w:rPr>
        <w:t xml:space="preserve"> put forward long-term </w:t>
      </w:r>
      <w:r w:rsidR="00617D5E">
        <w:rPr>
          <w:lang w:val="en-GB"/>
        </w:rPr>
        <w:t>low emissions</w:t>
      </w:r>
      <w:r>
        <w:rPr>
          <w:lang w:val="en-GB"/>
        </w:rPr>
        <w:t xml:space="preserve"> </w:t>
      </w:r>
      <w:r w:rsidR="00DB2EC2">
        <w:rPr>
          <w:lang w:val="en-GB"/>
        </w:rPr>
        <w:t>p</w:t>
      </w:r>
      <w:r>
        <w:rPr>
          <w:lang w:val="en-GB"/>
        </w:rPr>
        <w:t>athways</w:t>
      </w:r>
      <w:r w:rsidR="0039278F">
        <w:rPr>
          <w:lang w:val="en-GB"/>
        </w:rPr>
        <w:t xml:space="preserve"> to 2050. These would be submitted by 2018 and regularly updated. Countries </w:t>
      </w:r>
      <w:r w:rsidR="00CD209A">
        <w:rPr>
          <w:rFonts w:hint="eastAsia"/>
          <w:lang w:val="en-GB" w:eastAsia="zh-CN"/>
        </w:rPr>
        <w:t>would</w:t>
      </w:r>
      <w:r w:rsidR="0039278F">
        <w:rPr>
          <w:lang w:val="en-GB"/>
        </w:rPr>
        <w:t xml:space="preserve"> also </w:t>
      </w:r>
      <w:r w:rsidR="0081752F">
        <w:rPr>
          <w:lang w:val="en-GB"/>
        </w:rPr>
        <w:t>submit multi-sector, multi-time</w:t>
      </w:r>
      <w:r w:rsidR="00D331D1">
        <w:rPr>
          <w:lang w:val="en-GB"/>
        </w:rPr>
        <w:t>frame</w:t>
      </w:r>
      <w:r w:rsidR="0039278F">
        <w:rPr>
          <w:lang w:val="en-GB"/>
        </w:rPr>
        <w:t xml:space="preserve"> operational targets in 2015,</w:t>
      </w:r>
      <w:r w:rsidR="0081752F">
        <w:rPr>
          <w:lang w:val="en-GB"/>
        </w:rPr>
        <w:t xml:space="preserve"> under th</w:t>
      </w:r>
      <w:r w:rsidR="00F870BB">
        <w:rPr>
          <w:lang w:val="en-GB"/>
        </w:rPr>
        <w:t>e</w:t>
      </w:r>
      <w:r w:rsidR="0081752F">
        <w:rPr>
          <w:lang w:val="en-GB"/>
        </w:rPr>
        <w:t xml:space="preserve"> new agreement. These should reflect the drivers of emissions reductions, allowing for the most ambitious action where countries feel they can go furthest. These would be updated every 5 years in subsequent rounds of collective action.   </w:t>
      </w:r>
      <w:r w:rsidR="0039278F">
        <w:rPr>
          <w:lang w:val="en-GB"/>
        </w:rPr>
        <w:t xml:space="preserve">   </w:t>
      </w:r>
      <w:r>
        <w:rPr>
          <w:lang w:val="en-GB"/>
        </w:rPr>
        <w:t xml:space="preserve"> </w:t>
      </w:r>
      <w:r w:rsidRPr="00BA0EDC">
        <w:rPr>
          <w:lang w:val="en-GB"/>
        </w:rPr>
        <w:t xml:space="preserve"> </w:t>
      </w:r>
      <w:r w:rsidRPr="001600F8">
        <w:rPr>
          <w:lang w:val="en-GB"/>
        </w:rPr>
        <w:t xml:space="preserve">  </w:t>
      </w:r>
      <w:r w:rsidR="00ED27E8" w:rsidRPr="001600F8">
        <w:rPr>
          <w:lang w:val="en-GB"/>
        </w:rPr>
        <w:t xml:space="preserve"> </w:t>
      </w:r>
    </w:p>
    <w:p w14:paraId="7C199DFE" w14:textId="77777777" w:rsidR="005A02F7" w:rsidRPr="00BA0EDC" w:rsidRDefault="005A02F7">
      <w:pPr>
        <w:rPr>
          <w:lang w:val="en-GB"/>
        </w:rPr>
      </w:pPr>
    </w:p>
    <w:p w14:paraId="054D5898" w14:textId="77777777" w:rsidR="005A02F7" w:rsidRDefault="005A02F7" w:rsidP="00BA0EDC">
      <w:pPr>
        <w:pStyle w:val="Heading1"/>
        <w:numPr>
          <w:ilvl w:val="0"/>
          <w:numId w:val="0"/>
        </w:numPr>
        <w:rPr>
          <w:lang w:val="en-GB"/>
        </w:rPr>
      </w:pPr>
    </w:p>
    <w:p w14:paraId="034C7998" w14:textId="77777777" w:rsidR="005A02F7" w:rsidRDefault="005A02F7" w:rsidP="00BA0EDC">
      <w:pPr>
        <w:pStyle w:val="Heading1"/>
        <w:numPr>
          <w:ilvl w:val="0"/>
          <w:numId w:val="0"/>
        </w:numPr>
        <w:rPr>
          <w:lang w:val="en-GB"/>
        </w:rPr>
      </w:pPr>
    </w:p>
    <w:p w14:paraId="5A927DA3" w14:textId="1FD33963" w:rsidR="00FE3489" w:rsidRPr="00D122FD" w:rsidRDefault="00FE3489" w:rsidP="00BA0EDC">
      <w:pPr>
        <w:pStyle w:val="Heading1"/>
        <w:numPr>
          <w:ilvl w:val="0"/>
          <w:numId w:val="0"/>
        </w:numPr>
        <w:rPr>
          <w:lang w:val="en-GB"/>
        </w:rPr>
      </w:pPr>
      <w:r w:rsidRPr="00BA0EDC">
        <w:rPr>
          <w:rFonts w:asciiTheme="minorHAnsi" w:hAnsiTheme="minorHAnsi"/>
          <w:sz w:val="22"/>
          <w:szCs w:val="22"/>
          <w:lang w:val="en-GB"/>
        </w:rPr>
        <w:br w:type="page"/>
      </w:r>
    </w:p>
    <w:p w14:paraId="0E632CAD" w14:textId="62128FCA" w:rsidR="00080D84" w:rsidRPr="006E04DF" w:rsidRDefault="00BB3575" w:rsidP="00FE3489">
      <w:pPr>
        <w:pStyle w:val="Heading1"/>
        <w:rPr>
          <w:lang w:val="en-GB" w:eastAsia="zh-CN"/>
        </w:rPr>
      </w:pPr>
      <w:bookmarkStart w:id="4" w:name="_Toc389461672"/>
      <w:r w:rsidRPr="006E04DF">
        <w:rPr>
          <w:lang w:val="en-GB"/>
        </w:rPr>
        <w:lastRenderedPageBreak/>
        <w:t xml:space="preserve">Context </w:t>
      </w:r>
      <w:r w:rsidR="006478B5" w:rsidRPr="006E04DF">
        <w:rPr>
          <w:lang w:val="en-GB"/>
        </w:rPr>
        <w:t>and Introduction</w:t>
      </w:r>
      <w:bookmarkEnd w:id="4"/>
    </w:p>
    <w:p w14:paraId="3F71CF12" w14:textId="2D695D33" w:rsidR="0002651A" w:rsidRPr="006E04DF" w:rsidRDefault="009E4C10">
      <w:pPr>
        <w:rPr>
          <w:lang w:val="en-GB"/>
        </w:rPr>
      </w:pPr>
      <w:r w:rsidRPr="006E04DF">
        <w:rPr>
          <w:lang w:val="en-GB"/>
        </w:rPr>
        <w:t>Countries have</w:t>
      </w:r>
      <w:r w:rsidR="00D63D60" w:rsidRPr="006E04DF">
        <w:rPr>
          <w:lang w:val="en-GB"/>
        </w:rPr>
        <w:t xml:space="preserve"> agreed to negotiate a new global climate agreement by 2015, which will be applicable</w:t>
      </w:r>
      <w:r w:rsidR="0064568F" w:rsidRPr="006E04DF">
        <w:rPr>
          <w:lang w:val="en-GB"/>
        </w:rPr>
        <w:t xml:space="preserve"> to all countries</w:t>
      </w:r>
      <w:r w:rsidR="00D63D60" w:rsidRPr="006E04DF">
        <w:rPr>
          <w:lang w:val="en-GB"/>
        </w:rPr>
        <w:t xml:space="preserve"> </w:t>
      </w:r>
      <w:r w:rsidR="00127E8F" w:rsidRPr="006E04DF">
        <w:rPr>
          <w:lang w:val="en-GB"/>
        </w:rPr>
        <w:t xml:space="preserve">from </w:t>
      </w:r>
      <w:r w:rsidR="00D63D60" w:rsidRPr="006E04DF">
        <w:rPr>
          <w:lang w:val="en-GB"/>
        </w:rPr>
        <w:t xml:space="preserve">2020. </w:t>
      </w:r>
      <w:r w:rsidRPr="006E04DF">
        <w:rPr>
          <w:lang w:val="en-GB"/>
        </w:rPr>
        <w:t>According</w:t>
      </w:r>
      <w:r w:rsidR="004B6165" w:rsidRPr="006E04DF">
        <w:rPr>
          <w:lang w:val="en-GB" w:eastAsia="zh-CN"/>
        </w:rPr>
        <w:t xml:space="preserve"> to the </w:t>
      </w:r>
      <w:r w:rsidRPr="006E04DF">
        <w:rPr>
          <w:lang w:val="en-GB" w:eastAsia="zh-CN"/>
        </w:rPr>
        <w:t>negotiation</w:t>
      </w:r>
      <w:r w:rsidR="004B6165" w:rsidRPr="006E04DF">
        <w:rPr>
          <w:lang w:val="en-GB" w:eastAsia="zh-CN"/>
        </w:rPr>
        <w:t xml:space="preserve"> mandate, the 2015 agreement </w:t>
      </w:r>
      <w:r w:rsidR="00805ADA" w:rsidRPr="006E04DF">
        <w:rPr>
          <w:lang w:val="en-GB" w:eastAsia="zh-CN"/>
        </w:rPr>
        <w:t>will</w:t>
      </w:r>
      <w:r w:rsidR="004B6165" w:rsidRPr="006E04DF">
        <w:rPr>
          <w:lang w:val="en-GB" w:eastAsia="zh-CN"/>
        </w:rPr>
        <w:t xml:space="preserve"> </w:t>
      </w:r>
      <w:r w:rsidR="007F5BC5" w:rsidRPr="006E04DF">
        <w:rPr>
          <w:lang w:val="en-GB" w:eastAsia="zh-CN"/>
        </w:rPr>
        <w:t>cover</w:t>
      </w:r>
      <w:r w:rsidR="004B6165" w:rsidRPr="006E04DF">
        <w:rPr>
          <w:lang w:val="en-GB" w:eastAsia="zh-CN"/>
        </w:rPr>
        <w:t xml:space="preserve"> mitigation, adaptation, finance, technology development and transfer, </w:t>
      </w:r>
      <w:r w:rsidR="004B6165" w:rsidRPr="006E04DF">
        <w:rPr>
          <w:lang w:val="en-GB"/>
        </w:rPr>
        <w:t xml:space="preserve">transparency of action and support, and </w:t>
      </w:r>
      <w:r w:rsidR="00080D84" w:rsidRPr="006E04DF">
        <w:rPr>
          <w:lang w:val="en-GB"/>
        </w:rPr>
        <w:t>capacity building</w:t>
      </w:r>
      <w:r w:rsidR="004B6165" w:rsidRPr="006E04DF">
        <w:rPr>
          <w:lang w:val="en-GB"/>
        </w:rPr>
        <w:t>.</w:t>
      </w:r>
      <w:r w:rsidR="004B6165" w:rsidRPr="006E04DF">
        <w:rPr>
          <w:vertAlign w:val="superscript"/>
          <w:lang w:val="en-GB"/>
        </w:rPr>
        <w:footnoteReference w:id="3"/>
      </w:r>
      <w:r w:rsidR="004B6165" w:rsidRPr="006E04DF">
        <w:rPr>
          <w:lang w:val="en-GB" w:eastAsia="zh-CN"/>
        </w:rPr>
        <w:t xml:space="preserve"> </w:t>
      </w:r>
      <w:r w:rsidR="007F5BC5" w:rsidRPr="006E04DF">
        <w:rPr>
          <w:lang w:val="en-GB" w:eastAsia="zh-CN"/>
        </w:rPr>
        <w:t>Negotiations are not starting from scratch; progress has been</w:t>
      </w:r>
      <w:r w:rsidR="006810AD" w:rsidRPr="006E04DF">
        <w:rPr>
          <w:lang w:val="en-GB"/>
        </w:rPr>
        <w:t xml:space="preserve"> made since Copenhagen</w:t>
      </w:r>
      <w:r w:rsidR="007F5BC5" w:rsidRPr="006E04DF">
        <w:rPr>
          <w:lang w:val="en-GB"/>
        </w:rPr>
        <w:t xml:space="preserve"> on each of these elements</w:t>
      </w:r>
      <w:r w:rsidR="006810AD" w:rsidRPr="006E04DF">
        <w:rPr>
          <w:lang w:val="en-GB"/>
        </w:rPr>
        <w:t>.</w:t>
      </w:r>
      <w:r w:rsidR="007F5BC5" w:rsidRPr="006E04DF">
        <w:rPr>
          <w:rStyle w:val="FootnoteReference"/>
          <w:lang w:val="en-GB"/>
        </w:rPr>
        <w:footnoteReference w:id="4"/>
      </w:r>
      <w:r w:rsidR="006810AD" w:rsidRPr="006E04DF">
        <w:rPr>
          <w:lang w:val="en-GB"/>
        </w:rPr>
        <w:t xml:space="preserve"> </w:t>
      </w:r>
    </w:p>
    <w:p w14:paraId="478B7FF5" w14:textId="7FA73070" w:rsidR="000F34C8" w:rsidRPr="006E04DF" w:rsidRDefault="000F34C8" w:rsidP="000F34C8">
      <w:pPr>
        <w:rPr>
          <w:lang w:val="en-GB"/>
        </w:rPr>
      </w:pPr>
      <w:r w:rsidRPr="006E04DF">
        <w:rPr>
          <w:lang w:val="en-GB"/>
        </w:rPr>
        <w:t xml:space="preserve">Currently, all major economies, with a few exceptions, have proposed voluntary </w:t>
      </w:r>
      <w:r w:rsidR="00E21DD5" w:rsidRPr="006E04DF">
        <w:rPr>
          <w:lang w:val="en-GB"/>
        </w:rPr>
        <w:t>mitigation</w:t>
      </w:r>
      <w:r w:rsidRPr="006E04DF">
        <w:rPr>
          <w:lang w:val="en-GB"/>
        </w:rPr>
        <w:t xml:space="preserve"> targets to 2020 under the framework of the </w:t>
      </w:r>
      <w:proofErr w:type="spellStart"/>
      <w:r w:rsidR="00E21DD5" w:rsidRPr="006E04DF">
        <w:rPr>
          <w:lang w:val="en-GB"/>
        </w:rPr>
        <w:t>Cancún</w:t>
      </w:r>
      <w:proofErr w:type="spellEnd"/>
      <w:r w:rsidR="00E21DD5" w:rsidRPr="006E04DF">
        <w:rPr>
          <w:lang w:val="en-GB"/>
        </w:rPr>
        <w:t xml:space="preserve"> </w:t>
      </w:r>
      <w:r w:rsidRPr="006E04DF">
        <w:rPr>
          <w:lang w:val="en-GB"/>
        </w:rPr>
        <w:t xml:space="preserve">Accords. These targets are only until 2020, and are recognized to be insufficient to meet the objective </w:t>
      </w:r>
      <w:r w:rsidR="00E21DD5" w:rsidRPr="006E04DF">
        <w:rPr>
          <w:lang w:val="en-GB"/>
        </w:rPr>
        <w:t>o</w:t>
      </w:r>
      <w:r w:rsidRPr="006E04DF">
        <w:rPr>
          <w:lang w:val="en-GB"/>
        </w:rPr>
        <w:t>f keeping global average temperature change to less than 2</w:t>
      </w:r>
      <w:r w:rsidR="009E4C10" w:rsidRPr="006E04DF">
        <w:rPr>
          <w:lang w:val="en-GB"/>
        </w:rPr>
        <w:t>˚C</w:t>
      </w:r>
      <w:r w:rsidRPr="006E04DF">
        <w:rPr>
          <w:lang w:val="en-GB"/>
        </w:rPr>
        <w:t xml:space="preserve">. The IPCC notes: </w:t>
      </w:r>
    </w:p>
    <w:p w14:paraId="4DB8C4ED" w14:textId="4F8C6F83" w:rsidR="000F34C8" w:rsidRPr="006E04DF" w:rsidRDefault="000F34C8" w:rsidP="00E21DD5">
      <w:pPr>
        <w:ind w:firstLine="708"/>
        <w:rPr>
          <w:lang w:val="en-GB" w:eastAsia="zh-CN"/>
        </w:rPr>
      </w:pPr>
      <w:r w:rsidRPr="006E04DF">
        <w:rPr>
          <w:lang w:val="en-GB"/>
        </w:rPr>
        <w:t xml:space="preserve">“…Estimated global GHG emissions levels in 2020 based on the </w:t>
      </w:r>
      <w:proofErr w:type="spellStart"/>
      <w:r w:rsidRPr="006E04DF">
        <w:rPr>
          <w:lang w:val="en-GB"/>
        </w:rPr>
        <w:t>Cancún</w:t>
      </w:r>
      <w:proofErr w:type="spellEnd"/>
      <w:r w:rsidRPr="006E04DF">
        <w:rPr>
          <w:lang w:val="en-GB"/>
        </w:rPr>
        <w:t xml:space="preserve"> Pledges are not consistent with cost-effective long-term mitigation trajectories … to limit temperature change to 2˚C relative to pre-industrial levels … The </w:t>
      </w:r>
      <w:proofErr w:type="spellStart"/>
      <w:r w:rsidRPr="006E04DF">
        <w:rPr>
          <w:lang w:val="en-GB"/>
        </w:rPr>
        <w:t>Cancún</w:t>
      </w:r>
      <w:proofErr w:type="spellEnd"/>
      <w:r w:rsidRPr="006E04DF">
        <w:rPr>
          <w:lang w:val="en-GB"/>
        </w:rPr>
        <w:t xml:space="preserve"> Pledges are broadly consistent with cost</w:t>
      </w:r>
      <w:r w:rsidR="00E21DD5" w:rsidRPr="006E04DF">
        <w:rPr>
          <w:lang w:val="en-GB"/>
        </w:rPr>
        <w:t>-e</w:t>
      </w:r>
      <w:r w:rsidRPr="006E04DF">
        <w:rPr>
          <w:lang w:val="en-GB"/>
        </w:rPr>
        <w:t>ffective scenarios that are likely to keep temperature change below 3°C relative to preindustrial levels…”</w:t>
      </w:r>
      <w:r w:rsidRPr="006E04DF">
        <w:rPr>
          <w:rStyle w:val="FootnoteReference"/>
          <w:lang w:val="en-GB"/>
        </w:rPr>
        <w:footnoteReference w:id="5"/>
      </w:r>
      <w:r w:rsidRPr="006E04DF">
        <w:rPr>
          <w:lang w:val="en-GB"/>
        </w:rPr>
        <w:t xml:space="preserve">   </w:t>
      </w:r>
      <w:r w:rsidRPr="006E04DF">
        <w:rPr>
          <w:lang w:val="en-GB" w:eastAsia="zh-CN"/>
        </w:rPr>
        <w:t xml:space="preserve"> </w:t>
      </w:r>
    </w:p>
    <w:p w14:paraId="446799A8" w14:textId="41EF7C4A" w:rsidR="000F34C8" w:rsidRPr="006E04DF" w:rsidRDefault="000F34C8" w:rsidP="000F34C8">
      <w:pPr>
        <w:rPr>
          <w:lang w:val="en-GB" w:eastAsia="zh-CN"/>
        </w:rPr>
      </w:pPr>
      <w:r w:rsidRPr="006E04DF">
        <w:rPr>
          <w:lang w:val="en-GB"/>
        </w:rPr>
        <w:t xml:space="preserve">Negotiating new, stronger </w:t>
      </w:r>
      <w:r w:rsidRPr="006E04DF">
        <w:rPr>
          <w:lang w:val="en-GB" w:eastAsia="zh-CN"/>
        </w:rPr>
        <w:t>mitigation</w:t>
      </w:r>
      <w:r w:rsidRPr="006E04DF">
        <w:rPr>
          <w:lang w:val="en-GB"/>
        </w:rPr>
        <w:t xml:space="preserve"> targets for the period after 2020 will therefore be one of the key tasks of the negotiation process. This paper focuses mainly on the issue of defining </w:t>
      </w:r>
      <w:r w:rsidRPr="006E04DF">
        <w:rPr>
          <w:lang w:val="en-GB" w:eastAsia="zh-CN"/>
        </w:rPr>
        <w:t>the mitigation framework</w:t>
      </w:r>
      <w:r w:rsidRPr="006E04DF">
        <w:rPr>
          <w:lang w:val="en-GB"/>
        </w:rPr>
        <w:t>, as one key element of the new comprehensive agreement</w:t>
      </w:r>
      <w:r w:rsidR="009E4C10" w:rsidRPr="006E04DF">
        <w:rPr>
          <w:lang w:val="en-GB"/>
        </w:rPr>
        <w:t xml:space="preserve">. </w:t>
      </w:r>
    </w:p>
    <w:p w14:paraId="5E78BE13" w14:textId="18BFDBF2" w:rsidR="002325C6" w:rsidRPr="006E04DF" w:rsidRDefault="000F34C8">
      <w:pPr>
        <w:rPr>
          <w:lang w:val="en-GB"/>
        </w:rPr>
      </w:pPr>
      <w:r w:rsidRPr="006E04DF">
        <w:rPr>
          <w:lang w:val="en-GB"/>
        </w:rPr>
        <w:t>T</w:t>
      </w:r>
      <w:r w:rsidR="002325C6" w:rsidRPr="006E04DF">
        <w:rPr>
          <w:lang w:val="en-GB"/>
        </w:rPr>
        <w:t>he</w:t>
      </w:r>
      <w:r w:rsidR="00147312" w:rsidRPr="006E04DF">
        <w:rPr>
          <w:lang w:val="en-GB"/>
        </w:rPr>
        <w:t xml:space="preserve"> 2013</w:t>
      </w:r>
      <w:r w:rsidR="009E4C10" w:rsidRPr="006E04DF">
        <w:rPr>
          <w:lang w:val="en-GB"/>
        </w:rPr>
        <w:t xml:space="preserve"> climate</w:t>
      </w:r>
      <w:r w:rsidR="002325C6" w:rsidRPr="006E04DF">
        <w:rPr>
          <w:lang w:val="en-GB"/>
        </w:rPr>
        <w:t xml:space="preserve"> conference agreed that Parties should de</w:t>
      </w:r>
      <w:r w:rsidR="003578C8" w:rsidRPr="006E04DF">
        <w:rPr>
          <w:lang w:val="en-GB"/>
        </w:rPr>
        <w:t>fine the information framework for</w:t>
      </w:r>
      <w:r w:rsidRPr="006E04DF">
        <w:rPr>
          <w:lang w:val="en-GB"/>
        </w:rPr>
        <w:t xml:space="preserve"> mitigation targets</w:t>
      </w:r>
      <w:r w:rsidRPr="006E04DF">
        <w:rPr>
          <w:rStyle w:val="FootnoteReference"/>
          <w:lang w:val="en-GB"/>
        </w:rPr>
        <w:footnoteReference w:id="6"/>
      </w:r>
      <w:r w:rsidR="003578C8" w:rsidRPr="006E04DF">
        <w:rPr>
          <w:lang w:val="en-GB"/>
        </w:rPr>
        <w:t xml:space="preserve"> by the Lima conference in 2014. </w:t>
      </w:r>
      <w:r w:rsidR="006F6AD9" w:rsidRPr="006E04DF">
        <w:rPr>
          <w:lang w:val="en-GB"/>
        </w:rPr>
        <w:t>This information, provided together with mitigation targets, should</w:t>
      </w:r>
      <w:r w:rsidR="003578C8" w:rsidRPr="006E04DF">
        <w:rPr>
          <w:lang w:val="en-GB"/>
        </w:rPr>
        <w:t xml:space="preserve"> facilitate a better understanding</w:t>
      </w:r>
      <w:r w:rsidR="00147312" w:rsidRPr="006E04DF">
        <w:rPr>
          <w:lang w:val="en-GB"/>
        </w:rPr>
        <w:t>, credibility</w:t>
      </w:r>
      <w:r w:rsidR="0064568F" w:rsidRPr="006E04DF">
        <w:rPr>
          <w:lang w:val="en-GB"/>
        </w:rPr>
        <w:t xml:space="preserve"> and accountability</w:t>
      </w:r>
      <w:r w:rsidR="003578C8" w:rsidRPr="006E04DF">
        <w:rPr>
          <w:lang w:val="en-GB"/>
        </w:rPr>
        <w:t xml:space="preserve"> of these targets. </w:t>
      </w:r>
      <w:r w:rsidR="002325C6" w:rsidRPr="006E04DF">
        <w:rPr>
          <w:lang w:val="en-GB"/>
        </w:rPr>
        <w:t>This is one of the key deliverables for the 2014 negotiations.</w:t>
      </w:r>
      <w:r w:rsidR="0064568F" w:rsidRPr="006E04DF">
        <w:rPr>
          <w:lang w:val="en-GB"/>
        </w:rPr>
        <w:t xml:space="preserve"> </w:t>
      </w:r>
    </w:p>
    <w:p w14:paraId="5920D297" w14:textId="67CE543B" w:rsidR="00444313" w:rsidRPr="006E04DF" w:rsidRDefault="002325C6">
      <w:pPr>
        <w:rPr>
          <w:b/>
          <w:lang w:val="en-GB"/>
        </w:rPr>
      </w:pPr>
      <w:r w:rsidRPr="006E04DF">
        <w:rPr>
          <w:b/>
          <w:lang w:val="en-GB"/>
        </w:rPr>
        <w:t>This paper addresses this issue of the design of</w:t>
      </w:r>
      <w:r w:rsidR="00E25F35" w:rsidRPr="006E04DF">
        <w:rPr>
          <w:b/>
          <w:lang w:val="en-GB"/>
        </w:rPr>
        <w:t xml:space="preserve"> the</w:t>
      </w:r>
      <w:r w:rsidRPr="006E04DF">
        <w:rPr>
          <w:b/>
          <w:lang w:val="en-GB"/>
        </w:rPr>
        <w:t xml:space="preserve"> mitigation</w:t>
      </w:r>
      <w:r w:rsidR="00E25F35" w:rsidRPr="006E04DF">
        <w:rPr>
          <w:b/>
          <w:lang w:val="en-GB"/>
        </w:rPr>
        <w:t xml:space="preserve"> framework</w:t>
      </w:r>
      <w:r w:rsidR="00444313" w:rsidRPr="006E04DF">
        <w:rPr>
          <w:b/>
          <w:lang w:val="en-GB"/>
        </w:rPr>
        <w:t>: how sh</w:t>
      </w:r>
      <w:r w:rsidR="00832BA2" w:rsidRPr="006E04DF">
        <w:rPr>
          <w:b/>
          <w:lang w:val="en-GB"/>
        </w:rPr>
        <w:t>ould we</w:t>
      </w:r>
      <w:r w:rsidR="00444313" w:rsidRPr="006E04DF">
        <w:rPr>
          <w:b/>
          <w:lang w:val="en-GB"/>
        </w:rPr>
        <w:t xml:space="preserve"> structure </w:t>
      </w:r>
      <w:r w:rsidR="00832BA2" w:rsidRPr="006E04DF">
        <w:rPr>
          <w:b/>
          <w:lang w:val="en-GB"/>
        </w:rPr>
        <w:t xml:space="preserve">the information that Parties put forward with their mitigation targets, </w:t>
      </w:r>
      <w:r w:rsidR="00444313" w:rsidRPr="006E04DF">
        <w:rPr>
          <w:b/>
          <w:lang w:val="en-GB"/>
        </w:rPr>
        <w:t>in order to promote participation, equity, transparency and ambition</w:t>
      </w:r>
      <w:r w:rsidR="00832BA2" w:rsidRPr="006E04DF">
        <w:rPr>
          <w:b/>
          <w:lang w:val="en-GB"/>
        </w:rPr>
        <w:t>?</w:t>
      </w:r>
      <w:r w:rsidR="007714C7" w:rsidRPr="006E04DF">
        <w:rPr>
          <w:b/>
          <w:lang w:val="en-GB"/>
        </w:rPr>
        <w:t xml:space="preserve"> It also addresses broader questions of the mitigation regime</w:t>
      </w:r>
      <w:r w:rsidR="009E4C10" w:rsidRPr="006E04DF">
        <w:rPr>
          <w:b/>
          <w:lang w:val="en-GB"/>
        </w:rPr>
        <w:t xml:space="preserve">: </w:t>
      </w:r>
      <w:r w:rsidR="007714C7" w:rsidRPr="006E04DF">
        <w:rPr>
          <w:b/>
          <w:lang w:val="en-GB"/>
        </w:rPr>
        <w:t>how</w:t>
      </w:r>
      <w:r w:rsidR="009E4C10" w:rsidRPr="006E04DF">
        <w:rPr>
          <w:b/>
          <w:lang w:val="en-GB"/>
        </w:rPr>
        <w:t xml:space="preserve"> can it</w:t>
      </w:r>
      <w:r w:rsidR="007714C7" w:rsidRPr="006E04DF">
        <w:rPr>
          <w:b/>
          <w:lang w:val="en-GB"/>
        </w:rPr>
        <w:t xml:space="preserve"> promote dynamic, long-term</w:t>
      </w:r>
      <w:r w:rsidR="00147312" w:rsidRPr="006E04DF">
        <w:rPr>
          <w:b/>
          <w:lang w:val="en-GB"/>
        </w:rPr>
        <w:t>, transformational</w:t>
      </w:r>
      <w:r w:rsidR="009E4C10" w:rsidRPr="006E04DF">
        <w:rPr>
          <w:b/>
          <w:lang w:val="en-GB"/>
        </w:rPr>
        <w:t xml:space="preserve"> action?</w:t>
      </w:r>
      <w:r w:rsidR="007714C7" w:rsidRPr="006E04DF">
        <w:rPr>
          <w:b/>
          <w:lang w:val="en-GB"/>
        </w:rPr>
        <w:t xml:space="preserve"> </w:t>
      </w:r>
    </w:p>
    <w:p w14:paraId="21909456" w14:textId="4C2A8A35" w:rsidR="00E54107" w:rsidRPr="006E04DF" w:rsidRDefault="003578C8">
      <w:pPr>
        <w:rPr>
          <w:lang w:val="en-GB"/>
        </w:rPr>
      </w:pPr>
      <w:r w:rsidRPr="006E04DF">
        <w:rPr>
          <w:lang w:val="en-GB"/>
        </w:rPr>
        <w:t>Several issues should be made clear from the outset. Firstly, the</w:t>
      </w:r>
      <w:r w:rsidR="009E4C10" w:rsidRPr="006E04DF">
        <w:rPr>
          <w:lang w:val="en-GB"/>
        </w:rPr>
        <w:t xml:space="preserve"> 2013</w:t>
      </w:r>
      <w:r w:rsidRPr="006E04DF">
        <w:rPr>
          <w:lang w:val="en-GB"/>
        </w:rPr>
        <w:t xml:space="preserve"> </w:t>
      </w:r>
      <w:r w:rsidR="006279CF" w:rsidRPr="006E04DF">
        <w:rPr>
          <w:lang w:val="en-GB"/>
        </w:rPr>
        <w:t xml:space="preserve">Warsaw </w:t>
      </w:r>
      <w:r w:rsidR="009E4C10" w:rsidRPr="006E04DF">
        <w:rPr>
          <w:lang w:val="en-GB"/>
        </w:rPr>
        <w:t>conference</w:t>
      </w:r>
      <w:r w:rsidR="006279CF" w:rsidRPr="006E04DF">
        <w:rPr>
          <w:lang w:val="en-GB"/>
        </w:rPr>
        <w:t xml:space="preserve"> made clear that there is still some </w:t>
      </w:r>
      <w:r w:rsidR="009E4C10" w:rsidRPr="006E04DF">
        <w:rPr>
          <w:lang w:val="en-GB"/>
        </w:rPr>
        <w:t>divergence of views regarding</w:t>
      </w:r>
      <w:r w:rsidR="006279CF" w:rsidRPr="006E04DF">
        <w:rPr>
          <w:lang w:val="en-GB"/>
        </w:rPr>
        <w:t xml:space="preserve"> the legal form of </w:t>
      </w:r>
      <w:r w:rsidR="00AA7EE6" w:rsidRPr="006E04DF">
        <w:rPr>
          <w:lang w:val="en-GB"/>
        </w:rPr>
        <w:t>mitigation targets. This paper leaves aside this question</w:t>
      </w:r>
      <w:r w:rsidR="006F6AD9" w:rsidRPr="006E04DF">
        <w:rPr>
          <w:lang w:val="en-GB"/>
        </w:rPr>
        <w:t xml:space="preserve"> of legal form</w:t>
      </w:r>
      <w:r w:rsidR="00AA7EE6" w:rsidRPr="006E04DF">
        <w:rPr>
          <w:lang w:val="en-GB"/>
        </w:rPr>
        <w:t xml:space="preserve">, </w:t>
      </w:r>
      <w:r w:rsidR="005F23DD" w:rsidRPr="006E04DF">
        <w:rPr>
          <w:lang w:val="en-GB"/>
        </w:rPr>
        <w:t>and</w:t>
      </w:r>
      <w:r w:rsidR="00BC64BB" w:rsidRPr="006E04DF">
        <w:rPr>
          <w:lang w:val="en-GB"/>
        </w:rPr>
        <w:t xml:space="preserve"> thus</w:t>
      </w:r>
      <w:r w:rsidR="005F23DD" w:rsidRPr="006E04DF">
        <w:rPr>
          <w:lang w:val="en-GB"/>
        </w:rPr>
        <w:t xml:space="preserve"> uses the neutral word mitigation </w:t>
      </w:r>
      <w:r w:rsidR="00825FCC" w:rsidRPr="006E04DF">
        <w:rPr>
          <w:lang w:val="en-GB"/>
        </w:rPr>
        <w:t>‘</w:t>
      </w:r>
      <w:r w:rsidR="005F23DD" w:rsidRPr="006E04DF">
        <w:rPr>
          <w:lang w:val="en-GB"/>
        </w:rPr>
        <w:t>targets</w:t>
      </w:r>
      <w:r w:rsidR="00825FCC" w:rsidRPr="006E04DF">
        <w:rPr>
          <w:lang w:val="en-GB"/>
        </w:rPr>
        <w:t>’</w:t>
      </w:r>
      <w:r w:rsidR="005F23DD" w:rsidRPr="006E04DF">
        <w:rPr>
          <w:lang w:val="en-GB"/>
        </w:rPr>
        <w:t>.</w:t>
      </w:r>
      <w:r w:rsidR="00147312" w:rsidRPr="006E04DF">
        <w:rPr>
          <w:lang w:val="en-GB"/>
        </w:rPr>
        <w:t xml:space="preserve"> S</w:t>
      </w:r>
      <w:r w:rsidR="005F23DD" w:rsidRPr="006E04DF">
        <w:rPr>
          <w:lang w:val="en-GB"/>
        </w:rPr>
        <w:t xml:space="preserve">econdly, the agreement, as mentioned above, will need to cover all the issues of the </w:t>
      </w:r>
      <w:r w:rsidR="002811F7" w:rsidRPr="006E04DF">
        <w:rPr>
          <w:lang w:val="en-GB"/>
        </w:rPr>
        <w:t xml:space="preserve">Durban Mandate. </w:t>
      </w:r>
      <w:r w:rsidR="005F23DD" w:rsidRPr="006E04DF">
        <w:rPr>
          <w:lang w:val="en-GB"/>
        </w:rPr>
        <w:t xml:space="preserve">This paper </w:t>
      </w:r>
      <w:r w:rsidR="00FA279E" w:rsidRPr="006E04DF">
        <w:rPr>
          <w:lang w:val="en-GB" w:eastAsia="zh-CN"/>
        </w:rPr>
        <w:t xml:space="preserve">mainly </w:t>
      </w:r>
      <w:r w:rsidR="005F23DD" w:rsidRPr="006E04DF">
        <w:rPr>
          <w:lang w:val="en-GB"/>
        </w:rPr>
        <w:t>focuses on mitigation targets, and leaves aside this issue</w:t>
      </w:r>
      <w:r w:rsidR="009C4C83" w:rsidRPr="006E04DF">
        <w:rPr>
          <w:lang w:val="en-GB"/>
        </w:rPr>
        <w:t xml:space="preserve"> of other elements of the 2015 agreement</w:t>
      </w:r>
      <w:r w:rsidR="005F23DD" w:rsidRPr="006E04DF">
        <w:rPr>
          <w:lang w:val="en-GB"/>
        </w:rPr>
        <w:t xml:space="preserve">. </w:t>
      </w:r>
      <w:r w:rsidR="00BC64BB" w:rsidRPr="006E04DF">
        <w:rPr>
          <w:lang w:val="en-GB"/>
        </w:rPr>
        <w:t>Further work should take up these issues</w:t>
      </w:r>
      <w:r w:rsidR="00E21DD5" w:rsidRPr="006E04DF">
        <w:rPr>
          <w:lang w:val="en-GB"/>
        </w:rPr>
        <w:t xml:space="preserve"> urgently</w:t>
      </w:r>
      <w:r w:rsidR="00BC64BB" w:rsidRPr="006E04DF">
        <w:rPr>
          <w:lang w:val="en-GB"/>
        </w:rPr>
        <w:t>.</w:t>
      </w:r>
      <w:r w:rsidR="00072A21" w:rsidRPr="006E04DF">
        <w:rPr>
          <w:rStyle w:val="FootnoteReference"/>
          <w:lang w:val="en-GB"/>
        </w:rPr>
        <w:footnoteReference w:id="7"/>
      </w:r>
      <w:r w:rsidR="00BC64BB" w:rsidRPr="006E04DF">
        <w:rPr>
          <w:lang w:val="en-GB"/>
        </w:rPr>
        <w:t xml:space="preserve"> </w:t>
      </w:r>
    </w:p>
    <w:p w14:paraId="42975D44" w14:textId="6C5415CE" w:rsidR="002325C6" w:rsidRPr="006E04DF" w:rsidRDefault="00E54107">
      <w:pPr>
        <w:rPr>
          <w:lang w:val="en-GB"/>
        </w:rPr>
      </w:pPr>
      <w:r w:rsidRPr="006E04DF">
        <w:rPr>
          <w:lang w:val="en-GB"/>
        </w:rPr>
        <w:lastRenderedPageBreak/>
        <w:t>Th</w:t>
      </w:r>
      <w:r w:rsidR="00147312" w:rsidRPr="006E04DF">
        <w:rPr>
          <w:lang w:val="en-GB"/>
        </w:rPr>
        <w:t>irdly, the issue of</w:t>
      </w:r>
      <w:r w:rsidR="004E6A10">
        <w:rPr>
          <w:lang w:val="en-GB"/>
        </w:rPr>
        <w:t xml:space="preserve"> the</w:t>
      </w:r>
      <w:r w:rsidR="00147312" w:rsidRPr="006E04DF">
        <w:rPr>
          <w:lang w:val="en-GB"/>
        </w:rPr>
        <w:t xml:space="preserve"> design</w:t>
      </w:r>
      <w:r w:rsidRPr="006E04DF">
        <w:rPr>
          <w:lang w:val="en-GB"/>
        </w:rPr>
        <w:t xml:space="preserve"> of mitigation targets combines both elements of “structure” and “process”.</w:t>
      </w:r>
      <w:r w:rsidRPr="006E04DF">
        <w:rPr>
          <w:rStyle w:val="FootnoteReference"/>
          <w:lang w:val="en-GB"/>
        </w:rPr>
        <w:footnoteReference w:id="8"/>
      </w:r>
      <w:r w:rsidRPr="006E04DF">
        <w:rPr>
          <w:lang w:val="en-GB"/>
        </w:rPr>
        <w:t xml:space="preserve"> </w:t>
      </w:r>
      <w:r w:rsidR="00BD57D3">
        <w:rPr>
          <w:lang w:val="en-GB"/>
        </w:rPr>
        <w:t>The t</w:t>
      </w:r>
      <w:r w:rsidRPr="006E04DF">
        <w:rPr>
          <w:lang w:val="en-GB"/>
        </w:rPr>
        <w:t>ransparency</w:t>
      </w:r>
      <w:r w:rsidR="00147312" w:rsidRPr="006E04DF">
        <w:rPr>
          <w:lang w:val="en-GB"/>
        </w:rPr>
        <w:t>, credibility and understanding</w:t>
      </w:r>
      <w:r w:rsidR="00E21DD5" w:rsidRPr="006E04DF">
        <w:rPr>
          <w:lang w:val="en-GB"/>
        </w:rPr>
        <w:t xml:space="preserve"> of mitigation targets</w:t>
      </w:r>
      <w:r w:rsidRPr="006E04DF">
        <w:rPr>
          <w:lang w:val="en-GB"/>
        </w:rPr>
        <w:t xml:space="preserve"> can be facilitated by processes such as a reporting, verification and review, which can help Parties to understand each other’s actions. It can also be facilitated by the structure of the targets themselves, i.e. the rules and information that are used to define them. Ensuring a transparent outcome on mitigation will require optimizing both elements. This paper focuses on the issue of</w:t>
      </w:r>
      <w:r w:rsidR="00E21DD5" w:rsidRPr="006E04DF">
        <w:rPr>
          <w:lang w:val="en-GB"/>
        </w:rPr>
        <w:t xml:space="preserve"> the</w:t>
      </w:r>
      <w:r w:rsidRPr="006E04DF">
        <w:rPr>
          <w:lang w:val="en-GB"/>
        </w:rPr>
        <w:t xml:space="preserve"> </w:t>
      </w:r>
      <w:r w:rsidR="00E21DD5" w:rsidRPr="006E04DF">
        <w:rPr>
          <w:lang w:val="en-GB"/>
        </w:rPr>
        <w:t>“</w:t>
      </w:r>
      <w:r w:rsidRPr="006E04DF">
        <w:rPr>
          <w:lang w:val="en-GB"/>
        </w:rPr>
        <w:t>structure</w:t>
      </w:r>
      <w:r w:rsidR="00E21DD5" w:rsidRPr="006E04DF">
        <w:rPr>
          <w:lang w:val="en-GB"/>
        </w:rPr>
        <w:t>” of mitigation targets</w:t>
      </w:r>
      <w:r w:rsidRPr="006E04DF">
        <w:rPr>
          <w:lang w:val="en-GB"/>
        </w:rPr>
        <w:t>.</w:t>
      </w:r>
    </w:p>
    <w:p w14:paraId="43E1D21E" w14:textId="57A7F471" w:rsidR="00F60532" w:rsidRPr="006E04DF" w:rsidRDefault="00E54107" w:rsidP="00E54107">
      <w:pPr>
        <w:rPr>
          <w:lang w:val="en-GB"/>
        </w:rPr>
      </w:pPr>
      <w:r w:rsidRPr="006E04DF">
        <w:rPr>
          <w:lang w:val="en-GB"/>
        </w:rPr>
        <w:t>This pap</w:t>
      </w:r>
      <w:r w:rsidR="00147312" w:rsidRPr="006E04DF">
        <w:rPr>
          <w:lang w:val="en-GB"/>
        </w:rPr>
        <w:t xml:space="preserve">er is structured as follows. Section 2 outlines the key issues that the mitigation framework must address. These include the scale and rapidity of transformation, the need for long-term signals and policy coordination, and the need to address the multiple drivers of emissions trajectories. Section 3 then looks at the </w:t>
      </w:r>
      <w:r w:rsidR="00147312" w:rsidRPr="006E04DF">
        <w:rPr>
          <w:i/>
          <w:lang w:val="en-GB"/>
        </w:rPr>
        <w:t xml:space="preserve">ad hoc </w:t>
      </w:r>
      <w:r w:rsidR="00147312" w:rsidRPr="006E04DF">
        <w:rPr>
          <w:lang w:val="en-GB"/>
        </w:rPr>
        <w:t>structure that the Cancun Pledges have taken, in order to draw some lessons for the future design of the mitigation framework. Section 4 then proposes the basic pillars of the mitigation fra</w:t>
      </w:r>
      <w:r w:rsidR="000376F5">
        <w:rPr>
          <w:lang w:val="en-GB"/>
        </w:rPr>
        <w:t>mework in the new agreement: the</w:t>
      </w:r>
      <w:r w:rsidR="00147312" w:rsidRPr="006E04DF">
        <w:rPr>
          <w:lang w:val="en-GB"/>
        </w:rPr>
        <w:t xml:space="preserve"> 2˚C target as a directional </w:t>
      </w:r>
      <w:r w:rsidR="000376F5">
        <w:rPr>
          <w:lang w:val="en-GB"/>
        </w:rPr>
        <w:t>reference</w:t>
      </w:r>
      <w:r w:rsidR="00147312" w:rsidRPr="006E04DF">
        <w:rPr>
          <w:lang w:val="en-GB"/>
        </w:rPr>
        <w:t xml:space="preserve"> for global action; </w:t>
      </w:r>
      <w:r w:rsidR="00E3624F" w:rsidRPr="006E04DF">
        <w:rPr>
          <w:lang w:val="en-GB"/>
        </w:rPr>
        <w:t xml:space="preserve">and a fundamental shift from a </w:t>
      </w:r>
      <w:r w:rsidR="00BD57D3">
        <w:rPr>
          <w:lang w:val="en-GB"/>
        </w:rPr>
        <w:t>‘</w:t>
      </w:r>
      <w:r w:rsidR="00E3624F" w:rsidRPr="006E04DF">
        <w:rPr>
          <w:lang w:val="en-GB"/>
        </w:rPr>
        <w:t>logic of targets’ to a ‘logic of</w:t>
      </w:r>
      <w:r w:rsidR="009E4C10" w:rsidRPr="006E04DF">
        <w:rPr>
          <w:lang w:val="en-GB"/>
        </w:rPr>
        <w:t xml:space="preserve"> </w:t>
      </w:r>
      <w:r w:rsidR="004E6A10">
        <w:rPr>
          <w:lang w:val="en-GB"/>
        </w:rPr>
        <w:t>pathways</w:t>
      </w:r>
      <w:r w:rsidR="009E4C10" w:rsidRPr="006E04DF">
        <w:rPr>
          <w:lang w:val="en-GB"/>
        </w:rPr>
        <w:t xml:space="preserve">’. </w:t>
      </w:r>
      <w:proofErr w:type="gramStart"/>
      <w:r w:rsidR="009E4C10" w:rsidRPr="006E04DF">
        <w:rPr>
          <w:lang w:val="en-GB"/>
        </w:rPr>
        <w:t xml:space="preserve">Under a ‘logic of </w:t>
      </w:r>
      <w:r w:rsidR="004E6A10">
        <w:rPr>
          <w:lang w:val="en-GB"/>
        </w:rPr>
        <w:t>pathways</w:t>
      </w:r>
      <w:r w:rsidR="009E4C10" w:rsidRPr="006E04DF">
        <w:rPr>
          <w:lang w:val="en-GB"/>
        </w:rPr>
        <w:t>’</w:t>
      </w:r>
      <w:r w:rsidR="00E3624F" w:rsidRPr="006E04DF">
        <w:rPr>
          <w:lang w:val="en-GB"/>
        </w:rPr>
        <w:t>, countries would submit long-term, indicative</w:t>
      </w:r>
      <w:r w:rsidR="00617D5E">
        <w:rPr>
          <w:lang w:val="en-GB"/>
        </w:rPr>
        <w:t xml:space="preserve"> low emissions pathways</w:t>
      </w:r>
      <w:r w:rsidR="00E3624F" w:rsidRPr="006E04DF">
        <w:rPr>
          <w:lang w:val="en-GB"/>
        </w:rPr>
        <w:t>, combined with operational</w:t>
      </w:r>
      <w:r w:rsidR="002803C7" w:rsidRPr="006E04DF">
        <w:rPr>
          <w:lang w:val="en-GB"/>
        </w:rPr>
        <w:t xml:space="preserve"> multi-sector, multi-timeframe target packages.</w:t>
      </w:r>
      <w:proofErr w:type="gramEnd"/>
      <w:r w:rsidR="002803C7" w:rsidRPr="006E04DF">
        <w:rPr>
          <w:lang w:val="en-GB"/>
        </w:rPr>
        <w:t xml:space="preserve"> </w:t>
      </w:r>
      <w:r w:rsidR="003624EF" w:rsidRPr="006E04DF">
        <w:rPr>
          <w:lang w:val="en-GB"/>
        </w:rPr>
        <w:t xml:space="preserve">Finally, section 5 concludes. </w:t>
      </w:r>
      <w:r w:rsidR="00E3624F" w:rsidRPr="006E04DF">
        <w:rPr>
          <w:lang w:val="en-GB"/>
        </w:rPr>
        <w:t xml:space="preserve">  </w:t>
      </w:r>
      <w:r w:rsidR="00147312" w:rsidRPr="006E04DF">
        <w:rPr>
          <w:lang w:val="en-GB"/>
        </w:rPr>
        <w:t xml:space="preserve"> </w:t>
      </w:r>
    </w:p>
    <w:p w14:paraId="4946AFA0" w14:textId="48E2C54B" w:rsidR="006478B5" w:rsidRPr="006E04DF" w:rsidRDefault="00147312" w:rsidP="00E57618">
      <w:pPr>
        <w:pStyle w:val="Heading1"/>
        <w:rPr>
          <w:lang w:val="en-GB"/>
        </w:rPr>
      </w:pPr>
      <w:bookmarkStart w:id="5" w:name="_Toc389461673"/>
      <w:r w:rsidRPr="006E04DF">
        <w:rPr>
          <w:lang w:val="en-GB"/>
        </w:rPr>
        <w:t>Key Issues</w:t>
      </w:r>
      <w:r w:rsidR="006478B5" w:rsidRPr="006E04DF">
        <w:rPr>
          <w:lang w:val="en-GB"/>
        </w:rPr>
        <w:t xml:space="preserve"> to be </w:t>
      </w:r>
      <w:proofErr w:type="gramStart"/>
      <w:r w:rsidR="006478B5" w:rsidRPr="006E04DF">
        <w:rPr>
          <w:lang w:val="en-GB"/>
        </w:rPr>
        <w:t>Addressed</w:t>
      </w:r>
      <w:proofErr w:type="gramEnd"/>
      <w:r w:rsidR="00E21DD5" w:rsidRPr="006E04DF">
        <w:rPr>
          <w:lang w:val="en-GB"/>
        </w:rPr>
        <w:t xml:space="preserve"> by the Mitigation Framework</w:t>
      </w:r>
      <w:bookmarkEnd w:id="5"/>
    </w:p>
    <w:p w14:paraId="6CD16BA4" w14:textId="35E3A801" w:rsidR="00DB4DE5" w:rsidRPr="006E04DF" w:rsidRDefault="003B62CF" w:rsidP="00FE3489">
      <w:pPr>
        <w:pStyle w:val="Heading2"/>
        <w:rPr>
          <w:lang w:val="en-GB"/>
        </w:rPr>
      </w:pPr>
      <w:bookmarkStart w:id="6" w:name="_Toc389461674"/>
      <w:r>
        <w:rPr>
          <w:lang w:val="en-GB"/>
        </w:rPr>
        <w:t>The Urgency of Climate Change and the Need for Transformation</w:t>
      </w:r>
      <w:bookmarkEnd w:id="6"/>
    </w:p>
    <w:p w14:paraId="2AD71440" w14:textId="75B9DB1F" w:rsidR="00E12077" w:rsidRDefault="00DB4DE5" w:rsidP="00FE3489">
      <w:pPr>
        <w:rPr>
          <w:lang w:val="en-GB"/>
        </w:rPr>
      </w:pPr>
      <w:r w:rsidRPr="006E04DF">
        <w:rPr>
          <w:lang w:val="en-GB"/>
        </w:rPr>
        <w:t>The recent series of IPCC reports have recalled the urgency of global climate change.</w:t>
      </w:r>
      <w:r w:rsidR="006437CF">
        <w:rPr>
          <w:lang w:val="en-GB"/>
        </w:rPr>
        <w:t xml:space="preserve"> The IPCC </w:t>
      </w:r>
      <w:r w:rsidR="000376F5">
        <w:rPr>
          <w:lang w:val="en-GB"/>
        </w:rPr>
        <w:t>confirmed that without further mitigation efforts, global average surface temperatures will rise by 3.7 to 4.8˚</w:t>
      </w:r>
      <w:proofErr w:type="spellStart"/>
      <w:r w:rsidR="000376F5">
        <w:rPr>
          <w:lang w:val="en-GB"/>
        </w:rPr>
        <w:t>C over</w:t>
      </w:r>
      <w:proofErr w:type="spellEnd"/>
      <w:r w:rsidR="000376F5">
        <w:rPr>
          <w:lang w:val="en-GB"/>
        </w:rPr>
        <w:t xml:space="preserve"> the century, </w:t>
      </w:r>
      <w:r w:rsidR="000D369C">
        <w:rPr>
          <w:lang w:val="en-GB"/>
        </w:rPr>
        <w:t>with the possibility of higher temperature increases</w:t>
      </w:r>
      <w:r w:rsidR="00A32D21">
        <w:rPr>
          <w:lang w:val="en-GB"/>
        </w:rPr>
        <w:t xml:space="preserve"> not to be excluded</w:t>
      </w:r>
      <w:r w:rsidR="000376F5">
        <w:rPr>
          <w:lang w:val="en-GB"/>
        </w:rPr>
        <w:t>.</w:t>
      </w:r>
      <w:r w:rsidR="000D369C">
        <w:rPr>
          <w:rStyle w:val="FootnoteReference"/>
          <w:lang w:val="en-GB"/>
        </w:rPr>
        <w:footnoteReference w:id="9"/>
      </w:r>
      <w:r w:rsidR="005243C3">
        <w:rPr>
          <w:lang w:val="en-GB"/>
        </w:rPr>
        <w:t xml:space="preserve"> This is clearly above the objective of limiting warming to 2˚C which was been set under the</w:t>
      </w:r>
      <w:r w:rsidR="00E12077">
        <w:rPr>
          <w:lang w:val="en-GB"/>
        </w:rPr>
        <w:t xml:space="preserve"> 2010</w:t>
      </w:r>
      <w:r w:rsidR="005243C3">
        <w:rPr>
          <w:lang w:val="en-GB"/>
        </w:rPr>
        <w:t xml:space="preserve"> Cancun Agreements.</w:t>
      </w:r>
      <w:r w:rsidR="005243C3">
        <w:rPr>
          <w:rStyle w:val="FootnoteReference"/>
          <w:lang w:val="en-GB"/>
        </w:rPr>
        <w:footnoteReference w:id="10"/>
      </w:r>
      <w:r w:rsidR="003073A7">
        <w:rPr>
          <w:lang w:val="en-GB"/>
        </w:rPr>
        <w:t xml:space="preserve"> Unabated climate change</w:t>
      </w:r>
      <w:r w:rsidR="00A32D21">
        <w:rPr>
          <w:lang w:val="en-GB"/>
        </w:rPr>
        <w:t xml:space="preserve"> at this level</w:t>
      </w:r>
      <w:r w:rsidR="003073A7">
        <w:rPr>
          <w:lang w:val="en-GB"/>
        </w:rPr>
        <w:t xml:space="preserve"> would pose great risks to economic development, vulnerable populations, and ecosystems. </w:t>
      </w:r>
    </w:p>
    <w:p w14:paraId="28D8ABC3" w14:textId="460BBA81" w:rsidR="0077336C" w:rsidRDefault="00E12077" w:rsidP="0077336C">
      <w:pPr>
        <w:rPr>
          <w:lang w:val="en-GB"/>
        </w:rPr>
      </w:pPr>
      <w:r>
        <w:rPr>
          <w:lang w:val="en-GB"/>
        </w:rPr>
        <w:t>A significant change of course is</w:t>
      </w:r>
      <w:r w:rsidR="00A32D21">
        <w:rPr>
          <w:lang w:val="en-GB"/>
        </w:rPr>
        <w:t xml:space="preserve"> therefore</w:t>
      </w:r>
      <w:r>
        <w:rPr>
          <w:lang w:val="en-GB"/>
        </w:rPr>
        <w:t xml:space="preserve"> required in order to address climate change. According to the IPCC, emissions need to be reduced by 40-70% by 2050 in order to have a likely chance (&gt;66%) of keeping warming below 2˚C.</w:t>
      </w:r>
      <w:r>
        <w:rPr>
          <w:rStyle w:val="FootnoteReference"/>
          <w:lang w:val="en-GB"/>
        </w:rPr>
        <w:footnoteReference w:id="11"/>
      </w:r>
      <w:r>
        <w:rPr>
          <w:lang w:val="en-GB"/>
        </w:rPr>
        <w:t xml:space="preserve"> This would require significant transformations in energy supply, energy use, and agriculture, forestry and other land-use.</w:t>
      </w:r>
      <w:r>
        <w:rPr>
          <w:rStyle w:val="FootnoteReference"/>
          <w:lang w:val="en-GB"/>
        </w:rPr>
        <w:footnoteReference w:id="12"/>
      </w:r>
      <w:r>
        <w:rPr>
          <w:lang w:val="en-GB"/>
        </w:rPr>
        <w:t xml:space="preserve"> </w:t>
      </w:r>
      <w:r w:rsidR="003073A7">
        <w:rPr>
          <w:lang w:val="en-GB"/>
        </w:rPr>
        <w:t xml:space="preserve">The key </w:t>
      </w:r>
      <w:proofErr w:type="spellStart"/>
      <w:r w:rsidR="003073A7">
        <w:rPr>
          <w:lang w:val="en-GB"/>
        </w:rPr>
        <w:t>sectoral</w:t>
      </w:r>
      <w:proofErr w:type="spellEnd"/>
      <w:r w:rsidR="003073A7">
        <w:rPr>
          <w:lang w:val="en-GB"/>
        </w:rPr>
        <w:t xml:space="preserve"> transformations required have been characterized by the IPCC’s WGIII report. These include the significant up-scaling of low-carbon energy supply, and improvements in energy efficiency and the switch to low-carbon energy sources in buildings, transport and </w:t>
      </w:r>
      <w:r w:rsidR="004E6A10">
        <w:rPr>
          <w:lang w:val="en-GB"/>
        </w:rPr>
        <w:t>industry</w:t>
      </w:r>
      <w:r w:rsidR="0077336C">
        <w:rPr>
          <w:lang w:val="en-GB"/>
        </w:rPr>
        <w:t>:</w:t>
      </w:r>
      <w:r w:rsidR="00293877">
        <w:rPr>
          <w:rStyle w:val="FootnoteReference"/>
          <w:lang w:val="en-GB"/>
        </w:rPr>
        <w:footnoteReference w:id="13"/>
      </w:r>
    </w:p>
    <w:p w14:paraId="01192B5E" w14:textId="40866516" w:rsidR="00921A1D" w:rsidRPr="00AC7E2A" w:rsidRDefault="0077336C" w:rsidP="00BA0EDC">
      <w:pPr>
        <w:pStyle w:val="ListParagraph"/>
        <w:numPr>
          <w:ilvl w:val="0"/>
          <w:numId w:val="29"/>
        </w:numPr>
        <w:autoSpaceDE w:val="0"/>
        <w:autoSpaceDN w:val="0"/>
        <w:adjustRightInd w:val="0"/>
        <w:spacing w:after="0" w:line="240" w:lineRule="auto"/>
        <w:rPr>
          <w:rFonts w:ascii="Calibri" w:hAnsi="Calibri" w:cs="Calibri"/>
          <w:lang w:val="en-GB"/>
        </w:rPr>
      </w:pPr>
      <w:r w:rsidRPr="00AC7E2A">
        <w:rPr>
          <w:i/>
          <w:lang w:val="en-GB"/>
        </w:rPr>
        <w:t>Energy supply</w:t>
      </w:r>
      <w:r w:rsidRPr="00AC7E2A">
        <w:rPr>
          <w:lang w:val="en-GB"/>
        </w:rPr>
        <w:t xml:space="preserve">: </w:t>
      </w:r>
      <w:r w:rsidRPr="00AC7E2A">
        <w:rPr>
          <w:rFonts w:ascii="Calibri" w:hAnsi="Calibri" w:cs="Calibri"/>
          <w:lang w:val="en-GB"/>
        </w:rPr>
        <w:t>the share of low carbon energy will need to triple or quadruple</w:t>
      </w:r>
      <w:r w:rsidR="00DF283A">
        <w:rPr>
          <w:rFonts w:ascii="Calibri" w:hAnsi="Calibri" w:cs="Calibri"/>
          <w:lang w:val="en-GB"/>
        </w:rPr>
        <w:t xml:space="preserve"> by 2050</w:t>
      </w:r>
      <w:r w:rsidRPr="00AC7E2A">
        <w:rPr>
          <w:rFonts w:ascii="Calibri" w:hAnsi="Calibri" w:cs="Calibri"/>
          <w:lang w:val="en-GB"/>
        </w:rPr>
        <w:t>.</w:t>
      </w:r>
      <w:r w:rsidR="00921A1D">
        <w:rPr>
          <w:rStyle w:val="FootnoteReference"/>
          <w:rFonts w:ascii="Calibri" w:hAnsi="Calibri" w:cs="Calibri"/>
          <w:lang w:val="en-GB"/>
        </w:rPr>
        <w:footnoteReference w:id="14"/>
      </w:r>
      <w:r w:rsidRPr="00AC7E2A">
        <w:rPr>
          <w:rFonts w:ascii="Calibri" w:hAnsi="Calibri" w:cs="Calibri"/>
          <w:lang w:val="en-GB"/>
        </w:rPr>
        <w:t xml:space="preserve"> Low-carbon electricity supply</w:t>
      </w:r>
      <w:r w:rsidRPr="00BA0EDC">
        <w:rPr>
          <w:rFonts w:ascii="Calibri" w:hAnsi="Calibri" w:cs="Calibri"/>
          <w:lang w:val="en-GB"/>
        </w:rPr>
        <w:t xml:space="preserve"> increases from the</w:t>
      </w:r>
      <w:r w:rsidRPr="00AC7E2A">
        <w:rPr>
          <w:rFonts w:ascii="Calibri" w:hAnsi="Calibri" w:cs="Calibri"/>
          <w:lang w:val="en-GB"/>
        </w:rPr>
        <w:t xml:space="preserve"> </w:t>
      </w:r>
      <w:r w:rsidRPr="00BA0EDC">
        <w:rPr>
          <w:rFonts w:ascii="Calibri" w:hAnsi="Calibri" w:cs="Calibri"/>
          <w:lang w:val="en-GB"/>
        </w:rPr>
        <w:t>current share of around 30% to more than 80% by 2050.</w:t>
      </w:r>
      <w:r>
        <w:rPr>
          <w:rStyle w:val="FootnoteReference"/>
          <w:rFonts w:ascii="Calibri" w:hAnsi="Calibri" w:cs="Calibri"/>
          <w:lang w:val="en-GB"/>
        </w:rPr>
        <w:footnoteReference w:id="15"/>
      </w:r>
    </w:p>
    <w:p w14:paraId="14B34AA4" w14:textId="672E25D8" w:rsidR="00921A1D" w:rsidRPr="00BA0EDC" w:rsidRDefault="00921A1D" w:rsidP="00BA0EDC">
      <w:pPr>
        <w:pStyle w:val="ListParagraph"/>
        <w:numPr>
          <w:ilvl w:val="0"/>
          <w:numId w:val="29"/>
        </w:numPr>
        <w:autoSpaceDE w:val="0"/>
        <w:autoSpaceDN w:val="0"/>
        <w:adjustRightInd w:val="0"/>
        <w:spacing w:after="0" w:line="240" w:lineRule="auto"/>
        <w:rPr>
          <w:i/>
          <w:lang w:val="en-GB"/>
        </w:rPr>
      </w:pPr>
      <w:r>
        <w:rPr>
          <w:i/>
          <w:lang w:val="en-GB"/>
        </w:rPr>
        <w:lastRenderedPageBreak/>
        <w:t xml:space="preserve">Transport: </w:t>
      </w:r>
      <w:r>
        <w:rPr>
          <w:lang w:val="en-GB"/>
        </w:rPr>
        <w:t>energy demand for transport would need to be reduced by 10-45% from baseline by 2050, through more efficient technology and reduction in structural transport demand</w:t>
      </w:r>
      <w:r w:rsidR="004E6A10">
        <w:rPr>
          <w:lang w:val="en-GB"/>
        </w:rPr>
        <w:t xml:space="preserve"> </w:t>
      </w:r>
      <w:r>
        <w:rPr>
          <w:lang w:val="en-GB"/>
        </w:rPr>
        <w:t>through urban planning. Low-carbon energy supply in transport would need to reach around 30-45% of final energy consumption in 2050.</w:t>
      </w:r>
      <w:r>
        <w:rPr>
          <w:rStyle w:val="FootnoteReference"/>
          <w:lang w:val="en-GB"/>
        </w:rPr>
        <w:footnoteReference w:id="16"/>
      </w:r>
      <w:r>
        <w:rPr>
          <w:lang w:val="en-GB"/>
        </w:rPr>
        <w:t xml:space="preserve"> </w:t>
      </w:r>
    </w:p>
    <w:p w14:paraId="0D1ABE5A" w14:textId="36306F94" w:rsidR="00921A1D" w:rsidRDefault="00921A1D" w:rsidP="00BA0EDC">
      <w:pPr>
        <w:pStyle w:val="ListParagraph"/>
        <w:numPr>
          <w:ilvl w:val="0"/>
          <w:numId w:val="29"/>
        </w:numPr>
        <w:autoSpaceDE w:val="0"/>
        <w:autoSpaceDN w:val="0"/>
        <w:adjustRightInd w:val="0"/>
        <w:spacing w:after="0" w:line="240" w:lineRule="auto"/>
        <w:rPr>
          <w:i/>
          <w:lang w:val="en-GB"/>
        </w:rPr>
      </w:pPr>
      <w:r>
        <w:rPr>
          <w:i/>
          <w:lang w:val="en-GB"/>
        </w:rPr>
        <w:t>Buildings</w:t>
      </w:r>
      <w:r>
        <w:rPr>
          <w:lang w:val="en-GB"/>
        </w:rPr>
        <w:t>: final energy demand will need to be reduced by about 15-3</w:t>
      </w:r>
      <w:r w:rsidR="00D56C51">
        <w:rPr>
          <w:lang w:val="en-GB"/>
        </w:rPr>
        <w:t>5% compared to baseline by 20</w:t>
      </w:r>
      <w:r w:rsidR="004E6A10">
        <w:rPr>
          <w:lang w:val="en-GB"/>
        </w:rPr>
        <w:t>50</w:t>
      </w:r>
      <w:r w:rsidR="00D56C51">
        <w:rPr>
          <w:lang w:val="en-GB"/>
        </w:rPr>
        <w:t xml:space="preserve"> through energy efficiency, and low-carbon energy to increase</w:t>
      </w:r>
      <w:r w:rsidR="000A5802">
        <w:rPr>
          <w:lang w:val="en-GB"/>
        </w:rPr>
        <w:t xml:space="preserve"> to</w:t>
      </w:r>
      <w:r w:rsidR="00D56C51">
        <w:rPr>
          <w:lang w:val="en-GB"/>
        </w:rPr>
        <w:t xml:space="preserve"> 45-60% of final energy consumption in the buildings sector by 2050.</w:t>
      </w:r>
      <w:r w:rsidR="00D56C51">
        <w:rPr>
          <w:rStyle w:val="FootnoteReference"/>
          <w:lang w:val="en-GB"/>
        </w:rPr>
        <w:footnoteReference w:id="17"/>
      </w:r>
      <w:r w:rsidR="00D56C51">
        <w:rPr>
          <w:lang w:val="en-GB"/>
        </w:rPr>
        <w:t xml:space="preserve">  </w:t>
      </w:r>
      <w:r>
        <w:rPr>
          <w:lang w:val="en-GB"/>
        </w:rPr>
        <w:t xml:space="preserve"> </w:t>
      </w:r>
    </w:p>
    <w:p w14:paraId="221152EF" w14:textId="14737CA0" w:rsidR="0077336C" w:rsidRPr="00F0133B" w:rsidRDefault="00921A1D" w:rsidP="00BA0EDC">
      <w:pPr>
        <w:pStyle w:val="ListParagraph"/>
        <w:numPr>
          <w:ilvl w:val="0"/>
          <w:numId w:val="29"/>
        </w:numPr>
        <w:autoSpaceDE w:val="0"/>
        <w:autoSpaceDN w:val="0"/>
        <w:adjustRightInd w:val="0"/>
        <w:spacing w:after="0" w:line="240" w:lineRule="auto"/>
        <w:rPr>
          <w:i/>
          <w:lang w:val="en-GB"/>
        </w:rPr>
      </w:pPr>
      <w:r w:rsidRPr="00BA0EDC">
        <w:rPr>
          <w:i/>
          <w:lang w:val="en-GB"/>
        </w:rPr>
        <w:t>Industry</w:t>
      </w:r>
      <w:r>
        <w:rPr>
          <w:lang w:val="en-GB"/>
        </w:rPr>
        <w:t xml:space="preserve">: </w:t>
      </w:r>
      <w:r w:rsidR="00A76041">
        <w:rPr>
          <w:lang w:val="en-GB"/>
        </w:rPr>
        <w:t>final energy demand will need to be reduced by about 18-28% by 2050 compared to baseline, through a combination of energy efficiency and structural measures such as material efficiency, recycling and reuse. Low-carbon energy supply will need to increase to about 45-55% of final energy consumption in the industry sector, largely through a switch to electricity and industrial CCS.</w:t>
      </w:r>
      <w:r w:rsidR="00A76041">
        <w:rPr>
          <w:rStyle w:val="FootnoteReference"/>
          <w:lang w:val="en-GB"/>
        </w:rPr>
        <w:footnoteReference w:id="18"/>
      </w:r>
      <w:r w:rsidR="00A76041">
        <w:rPr>
          <w:lang w:val="en-GB"/>
        </w:rPr>
        <w:t xml:space="preserve"> </w:t>
      </w:r>
    </w:p>
    <w:p w14:paraId="0CF60748" w14:textId="77777777" w:rsidR="00F0133B" w:rsidRPr="00BA0EDC" w:rsidRDefault="00F0133B" w:rsidP="00F0133B">
      <w:pPr>
        <w:pStyle w:val="ListParagraph"/>
        <w:autoSpaceDE w:val="0"/>
        <w:autoSpaceDN w:val="0"/>
        <w:adjustRightInd w:val="0"/>
        <w:spacing w:after="0" w:line="240" w:lineRule="auto"/>
        <w:ind w:left="766"/>
        <w:rPr>
          <w:i/>
          <w:lang w:val="en-GB"/>
        </w:rPr>
      </w:pPr>
    </w:p>
    <w:p w14:paraId="3D2FF237" w14:textId="36AB390B" w:rsidR="0077336C" w:rsidRDefault="00CD209A" w:rsidP="00FE3489">
      <w:pPr>
        <w:rPr>
          <w:lang w:val="en-GB"/>
        </w:rPr>
      </w:pPr>
      <w:r>
        <w:rPr>
          <w:lang w:val="en-GB"/>
        </w:rPr>
        <w:t>These references can give a sense of the direction, technologies and strategies required sector by sector.</w:t>
      </w:r>
    </w:p>
    <w:p w14:paraId="37CC6817" w14:textId="490BED3D" w:rsidR="00F60532" w:rsidRDefault="00B4128F" w:rsidP="00E57618">
      <w:pPr>
        <w:pStyle w:val="Heading2"/>
        <w:rPr>
          <w:lang w:val="en-GB"/>
        </w:rPr>
      </w:pPr>
      <w:bookmarkStart w:id="7" w:name="_Toc389461675"/>
      <w:r w:rsidRPr="006E04DF">
        <w:rPr>
          <w:lang w:val="en-GB"/>
        </w:rPr>
        <w:t>T</w:t>
      </w:r>
      <w:r w:rsidR="006478B5" w:rsidRPr="006E04DF">
        <w:rPr>
          <w:lang w:val="en-GB"/>
        </w:rPr>
        <w:t>he D</w:t>
      </w:r>
      <w:r w:rsidR="00EF1995" w:rsidRPr="006E04DF">
        <w:rPr>
          <w:lang w:val="en-GB"/>
        </w:rPr>
        <w:t xml:space="preserve">iversity of </w:t>
      </w:r>
      <w:r w:rsidR="006478B5" w:rsidRPr="006E04DF">
        <w:rPr>
          <w:lang w:val="en-GB"/>
        </w:rPr>
        <w:t>C</w:t>
      </w:r>
      <w:r w:rsidR="00EF1995" w:rsidRPr="006E04DF">
        <w:rPr>
          <w:lang w:val="en-GB"/>
        </w:rPr>
        <w:t>ountries</w:t>
      </w:r>
      <w:r w:rsidR="00F07DBE">
        <w:rPr>
          <w:lang w:val="en-GB"/>
        </w:rPr>
        <w:t xml:space="preserve"> and Remaining Gaps between Groups</w:t>
      </w:r>
      <w:bookmarkEnd w:id="7"/>
    </w:p>
    <w:p w14:paraId="4B323672" w14:textId="5AF1CB0A" w:rsidR="00F07DBE" w:rsidRDefault="00F07DBE" w:rsidP="00F07DBE">
      <w:pPr>
        <w:rPr>
          <w:lang w:val="en-GB"/>
        </w:rPr>
      </w:pPr>
      <w:r>
        <w:rPr>
          <w:lang w:val="en-GB"/>
        </w:rPr>
        <w:t>According to the Durban Mandate, the new agreement should be “</w:t>
      </w:r>
      <w:r w:rsidR="004E6A10">
        <w:rPr>
          <w:lang w:val="en-GB"/>
        </w:rPr>
        <w:t xml:space="preserve">under the Convention [and] </w:t>
      </w:r>
      <w:r>
        <w:rPr>
          <w:lang w:val="en-GB"/>
        </w:rPr>
        <w:t>applicable to all Parties”.</w:t>
      </w:r>
      <w:r>
        <w:rPr>
          <w:rStyle w:val="FootnoteReference"/>
          <w:lang w:val="en-GB"/>
        </w:rPr>
        <w:footnoteReference w:id="19"/>
      </w:r>
      <w:r>
        <w:rPr>
          <w:lang w:val="en-GB"/>
        </w:rPr>
        <w:t xml:space="preserve"> It is widely expected that all major countries should take on new mitigation targets in the context of this new agreement, with Least Developed Countries doing so probably at their discretion. This creates the important challenge of finding a</w:t>
      </w:r>
      <w:r w:rsidR="004E6A10">
        <w:rPr>
          <w:lang w:val="en-GB"/>
        </w:rPr>
        <w:t xml:space="preserve"> mitigation framework</w:t>
      </w:r>
      <w:r w:rsidR="00CD209A">
        <w:rPr>
          <w:rFonts w:hint="eastAsia"/>
          <w:lang w:val="en-GB" w:eastAsia="zh-CN"/>
        </w:rPr>
        <w:t xml:space="preserve"> </w:t>
      </w:r>
      <w:r>
        <w:rPr>
          <w:lang w:val="en-GB"/>
        </w:rPr>
        <w:t xml:space="preserve">that can take into account the wide diversity of </w:t>
      </w:r>
      <w:r w:rsidR="000D3B0C">
        <w:rPr>
          <w:lang w:val="en-GB"/>
        </w:rPr>
        <w:t>countries</w:t>
      </w:r>
      <w:r>
        <w:rPr>
          <w:lang w:val="en-GB"/>
        </w:rPr>
        <w:t xml:space="preserve">, while providing transparency. </w:t>
      </w:r>
    </w:p>
    <w:p w14:paraId="45A3DDE2" w14:textId="09072C8E" w:rsidR="00F07DBE" w:rsidRDefault="00A46C9F" w:rsidP="00F07DBE">
      <w:pPr>
        <w:rPr>
          <w:lang w:val="en-GB"/>
        </w:rPr>
      </w:pPr>
      <w:r>
        <w:rPr>
          <w:lang w:val="en-GB"/>
        </w:rPr>
        <w:fldChar w:fldCharType="begin"/>
      </w:r>
      <w:r>
        <w:rPr>
          <w:lang w:val="en-GB"/>
        </w:rPr>
        <w:instrText xml:space="preserve"> REF _Ref388992818 \h </w:instrText>
      </w:r>
      <w:r>
        <w:rPr>
          <w:lang w:val="en-GB"/>
        </w:rPr>
      </w:r>
      <w:r>
        <w:rPr>
          <w:lang w:val="en-GB"/>
        </w:rPr>
        <w:fldChar w:fldCharType="separate"/>
      </w:r>
      <w:r>
        <w:t xml:space="preserve">Figure </w:t>
      </w:r>
      <w:r>
        <w:rPr>
          <w:noProof/>
        </w:rPr>
        <w:t>1</w:t>
      </w:r>
      <w:r>
        <w:rPr>
          <w:lang w:val="en-GB"/>
        </w:rPr>
        <w:fldChar w:fldCharType="end"/>
      </w:r>
      <w:r>
        <w:rPr>
          <w:lang w:val="en-GB"/>
        </w:rPr>
        <w:t xml:space="preserve"> </w:t>
      </w:r>
      <w:r w:rsidR="00F07DBE">
        <w:rPr>
          <w:lang w:val="en-GB"/>
        </w:rPr>
        <w:t xml:space="preserve">provides one indicator of this diversity between countries, showing GDP per capita in purchasing power terms. As can been seen, there is a very wide spectrum of countries, based on this indicator. To provide another point of comparison, </w:t>
      </w:r>
      <w:r>
        <w:rPr>
          <w:lang w:val="en-GB"/>
        </w:rPr>
        <w:fldChar w:fldCharType="begin"/>
      </w:r>
      <w:r>
        <w:rPr>
          <w:lang w:val="en-GB"/>
        </w:rPr>
        <w:instrText xml:space="preserve"> REF _Ref388992830 \h </w:instrText>
      </w:r>
      <w:r>
        <w:rPr>
          <w:lang w:val="en-GB"/>
        </w:rPr>
      </w:r>
      <w:r>
        <w:rPr>
          <w:lang w:val="en-GB"/>
        </w:rPr>
        <w:fldChar w:fldCharType="separate"/>
      </w:r>
      <w:r>
        <w:t>Figure 2</w:t>
      </w:r>
      <w:r>
        <w:rPr>
          <w:lang w:val="en-GB"/>
        </w:rPr>
        <w:fldChar w:fldCharType="end"/>
      </w:r>
      <w:r>
        <w:rPr>
          <w:lang w:val="en-GB"/>
        </w:rPr>
        <w:t xml:space="preserve"> </w:t>
      </w:r>
      <w:r w:rsidR="00F07DBE">
        <w:rPr>
          <w:lang w:val="en-GB"/>
        </w:rPr>
        <w:t>shows CO</w:t>
      </w:r>
      <w:r w:rsidR="00F07DBE" w:rsidRPr="00A46C9F">
        <w:rPr>
          <w:vertAlign w:val="subscript"/>
          <w:lang w:val="en-GB"/>
        </w:rPr>
        <w:t>2</w:t>
      </w:r>
      <w:r w:rsidR="00F07DBE">
        <w:rPr>
          <w:lang w:val="en-GB"/>
        </w:rPr>
        <w:t xml:space="preserve"> emissions per capita for the same group of countries. Clearly, any framework to include mitigation targets from such a diverse range of countries will need to be flexible, in order to accommodate the </w:t>
      </w:r>
      <w:r w:rsidR="004E6A10">
        <w:rPr>
          <w:lang w:val="en-GB"/>
        </w:rPr>
        <w:t>spectrum</w:t>
      </w:r>
      <w:r w:rsidR="00F07DBE">
        <w:rPr>
          <w:lang w:val="en-GB"/>
        </w:rPr>
        <w:t xml:space="preserve"> of national circumstances, and the diversities of policies and levers which are available for reducing emissions in each country. </w:t>
      </w:r>
    </w:p>
    <w:p w14:paraId="21C6BA1E" w14:textId="77777777" w:rsidR="00B07209" w:rsidRDefault="00B07209" w:rsidP="00F07DBE">
      <w:pPr>
        <w:rPr>
          <w:lang w:val="en-GB"/>
        </w:rPr>
      </w:pPr>
    </w:p>
    <w:p w14:paraId="5FDEDF0C" w14:textId="77777777" w:rsidR="00B07209" w:rsidRDefault="00B07209" w:rsidP="00F07DBE">
      <w:pPr>
        <w:rPr>
          <w:lang w:val="en-GB"/>
        </w:rPr>
      </w:pPr>
    </w:p>
    <w:p w14:paraId="041FBA83" w14:textId="77777777" w:rsidR="00B07209" w:rsidRDefault="00B07209" w:rsidP="00F07DBE">
      <w:pPr>
        <w:rPr>
          <w:lang w:val="en-GB"/>
        </w:rPr>
      </w:pPr>
    </w:p>
    <w:p w14:paraId="5042DD53" w14:textId="77777777" w:rsidR="00B07209" w:rsidRDefault="00B07209" w:rsidP="00F07DBE">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674"/>
      </w:tblGrid>
      <w:tr w:rsidR="00F07DBE" w14:paraId="5A8450BE" w14:textId="77777777" w:rsidTr="00664632">
        <w:tc>
          <w:tcPr>
            <w:tcW w:w="4880" w:type="dxa"/>
          </w:tcPr>
          <w:p w14:paraId="3A83F21B" w14:textId="0CBA9C86" w:rsidR="00F07DBE" w:rsidRPr="00964DA5" w:rsidRDefault="00664632" w:rsidP="00664632">
            <w:pPr>
              <w:pStyle w:val="Caption"/>
              <w:rPr>
                <w:rFonts w:ascii="Calibri" w:eastAsia="Times New Roman" w:hAnsi="Calibri" w:cs="Times New Roman"/>
                <w:b w:val="0"/>
                <w:color w:val="000000"/>
                <w:lang w:val="en-GB" w:eastAsia="fr-FR"/>
              </w:rPr>
            </w:pPr>
            <w:bookmarkStart w:id="8" w:name="_Ref388992818"/>
            <w:bookmarkStart w:id="9" w:name="_Toc389212997"/>
            <w:r>
              <w:t xml:space="preserve">Figure </w:t>
            </w:r>
            <w:r>
              <w:fldChar w:fldCharType="begin"/>
            </w:r>
            <w:r>
              <w:instrText xml:space="preserve"> SEQ Figure \* ARABIC </w:instrText>
            </w:r>
            <w:r>
              <w:fldChar w:fldCharType="separate"/>
            </w:r>
            <w:r w:rsidR="007C2EAD">
              <w:rPr>
                <w:noProof/>
              </w:rPr>
              <w:t>1</w:t>
            </w:r>
            <w:r>
              <w:fldChar w:fldCharType="end"/>
            </w:r>
            <w:bookmarkEnd w:id="8"/>
            <w:r>
              <w:t>:</w:t>
            </w:r>
            <w:r w:rsidRPr="00964DA5">
              <w:rPr>
                <w:rFonts w:ascii="Calibri" w:eastAsia="Times New Roman" w:hAnsi="Calibri" w:cs="Times New Roman"/>
                <w:color w:val="000000"/>
                <w:lang w:val="en-GB" w:eastAsia="fr-FR"/>
              </w:rPr>
              <w:t xml:space="preserve"> </w:t>
            </w:r>
            <w:r w:rsidRPr="00664632">
              <w:t>GDP per capita at purchasing power parity, 2012, annex 1 in red, non-annex 1 in blue</w:t>
            </w:r>
            <w:bookmarkEnd w:id="9"/>
            <w:r w:rsidRPr="00964DA5">
              <w:rPr>
                <w:rFonts w:ascii="Calibri" w:eastAsia="Times New Roman" w:hAnsi="Calibri" w:cs="Times New Roman"/>
                <w:color w:val="000000"/>
                <w:lang w:val="en-GB" w:eastAsia="fr-FR"/>
              </w:rPr>
              <w:t xml:space="preserve">  </w:t>
            </w:r>
          </w:p>
        </w:tc>
        <w:tc>
          <w:tcPr>
            <w:tcW w:w="4362" w:type="dxa"/>
          </w:tcPr>
          <w:p w14:paraId="72EBC8D4" w14:textId="5A18F492" w:rsidR="00F07DBE" w:rsidRPr="00664632" w:rsidRDefault="00664632" w:rsidP="00A46C9F">
            <w:pPr>
              <w:pStyle w:val="Caption"/>
              <w:rPr>
                <w:lang w:val="en-GB"/>
              </w:rPr>
            </w:pPr>
            <w:bookmarkStart w:id="10" w:name="_Ref388992830"/>
            <w:bookmarkStart w:id="11" w:name="_Toc389212998"/>
            <w:r>
              <w:t xml:space="preserve">Figure </w:t>
            </w:r>
            <w:r>
              <w:fldChar w:fldCharType="begin"/>
            </w:r>
            <w:r>
              <w:instrText xml:space="preserve"> SEQ Figure \* ARABIC </w:instrText>
            </w:r>
            <w:r>
              <w:fldChar w:fldCharType="separate"/>
            </w:r>
            <w:r w:rsidR="007C2EAD">
              <w:rPr>
                <w:noProof/>
              </w:rPr>
              <w:t>2</w:t>
            </w:r>
            <w:r>
              <w:fldChar w:fldCharType="end"/>
            </w:r>
            <w:bookmarkEnd w:id="10"/>
            <w:r>
              <w:t xml:space="preserve">: </w:t>
            </w:r>
            <w:r w:rsidR="00F07DBE" w:rsidRPr="00A46C9F">
              <w:t>CO</w:t>
            </w:r>
            <w:r w:rsidR="00F07DBE" w:rsidRPr="00A46C9F">
              <w:rPr>
                <w:vertAlign w:val="subscript"/>
              </w:rPr>
              <w:t>2</w:t>
            </w:r>
            <w:r w:rsidR="00F07DBE" w:rsidRPr="00A46C9F">
              <w:rPr>
                <w:vertAlign w:val="superscript"/>
              </w:rPr>
              <w:footnoteReference w:id="20"/>
            </w:r>
            <w:r w:rsidR="00F07DBE" w:rsidRPr="00A46C9F">
              <w:t xml:space="preserve"> per capita, 201</w:t>
            </w:r>
            <w:r w:rsidR="00A46C9F" w:rsidRPr="00A46C9F">
              <w:t>0</w:t>
            </w:r>
            <w:r w:rsidR="00F07DBE" w:rsidRPr="00A46C9F">
              <w:t xml:space="preserve">, </w:t>
            </w:r>
            <w:r w:rsidR="00A46C9F" w:rsidRPr="00A46C9F">
              <w:t>a</w:t>
            </w:r>
            <w:r w:rsidR="00F07DBE" w:rsidRPr="00A46C9F">
              <w:t>nnex 1 in red, non-annex 1 in blue</w:t>
            </w:r>
            <w:bookmarkEnd w:id="11"/>
          </w:p>
        </w:tc>
      </w:tr>
      <w:tr w:rsidR="00F07DBE" w14:paraId="3E3E7A89" w14:textId="77777777" w:rsidTr="00664632">
        <w:tblPrEx>
          <w:tblCellMar>
            <w:left w:w="70" w:type="dxa"/>
            <w:right w:w="70" w:type="dxa"/>
          </w:tblCellMar>
        </w:tblPrEx>
        <w:tc>
          <w:tcPr>
            <w:tcW w:w="4880" w:type="dxa"/>
          </w:tcPr>
          <w:p w14:paraId="211A803D" w14:textId="77777777" w:rsidR="00F07DBE" w:rsidRDefault="00F07DBE" w:rsidP="00664632">
            <w:pPr>
              <w:rPr>
                <w:rFonts w:ascii="Calibri" w:eastAsia="Times New Roman" w:hAnsi="Calibri" w:cs="Times New Roman"/>
                <w:color w:val="000000"/>
                <w:lang w:val="en-GB" w:eastAsia="fr-FR"/>
              </w:rPr>
            </w:pPr>
            <w:r>
              <w:rPr>
                <w:noProof/>
                <w:lang w:val="fr-FR" w:eastAsia="fr-FR"/>
              </w:rPr>
              <w:lastRenderedPageBreak/>
              <w:drawing>
                <wp:inline distT="0" distB="0" distL="0" distR="0" wp14:anchorId="6B4AB272" wp14:editId="2BACBC9F">
                  <wp:extent cx="2743200" cy="1978926"/>
                  <wp:effectExtent l="0" t="0" r="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362" w:type="dxa"/>
          </w:tcPr>
          <w:p w14:paraId="10B65744" w14:textId="77777777" w:rsidR="00F07DBE" w:rsidRDefault="00F07DBE" w:rsidP="00664632">
            <w:pPr>
              <w:rPr>
                <w:rFonts w:ascii="Calibri" w:eastAsia="Times New Roman" w:hAnsi="Calibri" w:cs="Times New Roman"/>
                <w:color w:val="000000"/>
                <w:lang w:val="en-GB" w:eastAsia="fr-FR"/>
              </w:rPr>
            </w:pPr>
            <w:r>
              <w:rPr>
                <w:noProof/>
                <w:lang w:val="fr-FR" w:eastAsia="fr-FR"/>
              </w:rPr>
              <w:drawing>
                <wp:inline distT="0" distB="0" distL="0" distR="0" wp14:anchorId="1CCCE752" wp14:editId="7BD2FA2B">
                  <wp:extent cx="2879677" cy="1978926"/>
                  <wp:effectExtent l="0" t="0" r="0" b="25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07DBE" w14:paraId="0F303B01" w14:textId="77777777" w:rsidTr="00664632">
        <w:tc>
          <w:tcPr>
            <w:tcW w:w="4880" w:type="dxa"/>
          </w:tcPr>
          <w:p w14:paraId="7DEFA166" w14:textId="77777777" w:rsidR="00F07DBE" w:rsidRPr="00964DA5" w:rsidRDefault="00F07DBE" w:rsidP="00664632">
            <w:pPr>
              <w:rPr>
                <w:rFonts w:ascii="Calibri" w:eastAsia="Times New Roman" w:hAnsi="Calibri" w:cs="Times New Roman"/>
                <w:i/>
                <w:color w:val="000000"/>
                <w:lang w:val="en-GB" w:eastAsia="fr-FR"/>
              </w:rPr>
            </w:pPr>
            <w:r w:rsidRPr="00964DA5">
              <w:rPr>
                <w:rFonts w:ascii="Calibri" w:eastAsia="Times New Roman" w:hAnsi="Calibri" w:cs="Times New Roman"/>
                <w:i/>
                <w:color w:val="000000"/>
                <w:lang w:val="en-GB" w:eastAsia="fr-FR"/>
              </w:rPr>
              <w:t>Source: World Bank data</w:t>
            </w:r>
          </w:p>
        </w:tc>
        <w:tc>
          <w:tcPr>
            <w:tcW w:w="4362" w:type="dxa"/>
          </w:tcPr>
          <w:p w14:paraId="6D0FB8C4" w14:textId="77777777" w:rsidR="00F07DBE" w:rsidRPr="00964DA5" w:rsidRDefault="00F07DBE" w:rsidP="00664632">
            <w:pPr>
              <w:rPr>
                <w:rFonts w:ascii="Calibri" w:eastAsia="Times New Roman" w:hAnsi="Calibri" w:cs="Times New Roman"/>
                <w:i/>
                <w:color w:val="000000"/>
                <w:lang w:val="en-GB" w:eastAsia="fr-FR"/>
              </w:rPr>
            </w:pPr>
            <w:r>
              <w:rPr>
                <w:rFonts w:ascii="Calibri" w:eastAsia="Times New Roman" w:hAnsi="Calibri" w:cs="Times New Roman"/>
                <w:i/>
                <w:color w:val="000000"/>
                <w:lang w:val="en-GB" w:eastAsia="fr-FR"/>
              </w:rPr>
              <w:t>Source: World Bank data</w:t>
            </w:r>
          </w:p>
        </w:tc>
      </w:tr>
    </w:tbl>
    <w:p w14:paraId="48545C52" w14:textId="77777777" w:rsidR="00F07DBE" w:rsidRDefault="00F07DBE" w:rsidP="00F07DBE">
      <w:pPr>
        <w:rPr>
          <w:rFonts w:ascii="Calibri" w:eastAsia="Times New Roman" w:hAnsi="Calibri" w:cs="Times New Roman"/>
          <w:color w:val="000000"/>
          <w:lang w:val="en-GB" w:eastAsia="fr-FR"/>
        </w:rPr>
      </w:pPr>
    </w:p>
    <w:p w14:paraId="3F5B7B64" w14:textId="39F9B200" w:rsidR="00A46C9F" w:rsidRDefault="00F07DBE" w:rsidP="00F07DBE">
      <w:pPr>
        <w:rPr>
          <w:rFonts w:ascii="Calibri" w:eastAsia="Times New Roman" w:hAnsi="Calibri" w:cs="Times New Roman"/>
          <w:color w:val="000000"/>
          <w:lang w:val="en-GB" w:eastAsia="fr-FR"/>
        </w:rPr>
      </w:pPr>
      <w:r>
        <w:rPr>
          <w:lang w:val="en-GB"/>
        </w:rPr>
        <w:t xml:space="preserve">At the same time as acknowledging the broad spectrum of circumstances, it is important to acknowledge the continued relevance of distinctions between </w:t>
      </w:r>
      <w:r w:rsidR="000D3B0C">
        <w:rPr>
          <w:lang w:val="en-GB"/>
        </w:rPr>
        <w:t>groups of countries</w:t>
      </w:r>
      <w:r w:rsidR="00A46C9F">
        <w:rPr>
          <w:lang w:val="en-GB"/>
        </w:rPr>
        <w:t xml:space="preserve">. </w:t>
      </w:r>
      <w:r w:rsidR="000D3B0C">
        <w:rPr>
          <w:lang w:val="en-GB"/>
        </w:rPr>
        <w:t>I</w:t>
      </w:r>
      <w:r>
        <w:rPr>
          <w:rFonts w:ascii="Calibri" w:eastAsia="Times New Roman" w:hAnsi="Calibri" w:cs="Times New Roman"/>
          <w:color w:val="000000"/>
          <w:lang w:val="en-GB" w:eastAsia="fr-FR"/>
        </w:rPr>
        <w:t xml:space="preserve">t is also important to consider future economic trajectories, as the agreement is intended to be a durable long-term instrument regulating the period after 2020. The instrument thus needs to be able to take into account the depth of change expected, uncertainties, and future capacities.  </w:t>
      </w:r>
    </w:p>
    <w:p w14:paraId="03E7969D" w14:textId="4AFECD71" w:rsidR="006D3567" w:rsidRDefault="00A46C9F" w:rsidP="00F07DBE">
      <w:pP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In order to give a sense of the evolution of broad groups of countries overtime, we present GDP/capita</w:t>
      </w:r>
      <w:r w:rsidR="00AD3850">
        <w:rPr>
          <w:rFonts w:ascii="Calibri" w:eastAsia="Times New Roman" w:hAnsi="Calibri" w:cs="Times New Roman"/>
          <w:color w:val="000000"/>
          <w:lang w:val="en-GB" w:eastAsia="fr-FR"/>
        </w:rPr>
        <w:t xml:space="preserve"> (since 1990)</w:t>
      </w:r>
      <w:r>
        <w:rPr>
          <w:rFonts w:ascii="Calibri" w:eastAsia="Times New Roman" w:hAnsi="Calibri" w:cs="Times New Roman"/>
          <w:color w:val="000000"/>
          <w:lang w:val="en-GB" w:eastAsia="fr-FR"/>
        </w:rPr>
        <w:t xml:space="preserve"> and CO</w:t>
      </w:r>
      <w:r w:rsidRPr="00BA0EDC">
        <w:rPr>
          <w:rFonts w:ascii="Calibri" w:eastAsia="Times New Roman" w:hAnsi="Calibri" w:cs="Times New Roman"/>
          <w:color w:val="000000"/>
          <w:vertAlign w:val="subscript"/>
          <w:lang w:val="en-GB" w:eastAsia="fr-FR"/>
        </w:rPr>
        <w:t>2</w:t>
      </w:r>
      <w:r>
        <w:rPr>
          <w:rFonts w:ascii="Calibri" w:eastAsia="Times New Roman" w:hAnsi="Calibri" w:cs="Times New Roman"/>
          <w:color w:val="000000"/>
          <w:lang w:val="en-GB" w:eastAsia="fr-FR"/>
        </w:rPr>
        <w:t xml:space="preserve">/capita </w:t>
      </w:r>
      <w:r w:rsidR="00AD3850">
        <w:rPr>
          <w:rFonts w:ascii="Calibri" w:eastAsia="Times New Roman" w:hAnsi="Calibri" w:cs="Times New Roman"/>
          <w:color w:val="000000"/>
          <w:lang w:val="en-GB" w:eastAsia="fr-FR"/>
        </w:rPr>
        <w:t>(</w:t>
      </w:r>
      <w:r>
        <w:rPr>
          <w:rFonts w:ascii="Calibri" w:eastAsia="Times New Roman" w:hAnsi="Calibri" w:cs="Times New Roman"/>
          <w:color w:val="000000"/>
          <w:lang w:val="en-GB" w:eastAsia="fr-FR"/>
        </w:rPr>
        <w:t>since 199</w:t>
      </w:r>
      <w:r w:rsidR="00AD3850">
        <w:rPr>
          <w:rFonts w:ascii="Calibri" w:eastAsia="Times New Roman" w:hAnsi="Calibri" w:cs="Times New Roman"/>
          <w:color w:val="000000"/>
          <w:lang w:val="en-GB" w:eastAsia="fr-FR"/>
        </w:rPr>
        <w:t>2)</w:t>
      </w:r>
      <w:r>
        <w:rPr>
          <w:rFonts w:ascii="Calibri" w:eastAsia="Times New Roman" w:hAnsi="Calibri" w:cs="Times New Roman"/>
          <w:color w:val="000000"/>
          <w:lang w:val="en-GB" w:eastAsia="fr-FR"/>
        </w:rPr>
        <w:t xml:space="preserve"> in</w:t>
      </w:r>
      <w:r w:rsidR="00F15BCC">
        <w:rPr>
          <w:rFonts w:ascii="Calibri" w:eastAsia="Times New Roman" w:hAnsi="Calibri" w:cs="Times New Roman"/>
          <w:color w:val="000000"/>
          <w:lang w:val="en-GB" w:eastAsia="fr-FR"/>
        </w:rPr>
        <w:t xml:space="preserve"> </w:t>
      </w:r>
      <w:r w:rsidR="00F15BCC">
        <w:rPr>
          <w:rFonts w:ascii="Calibri" w:eastAsia="Times New Roman" w:hAnsi="Calibri" w:cs="Times New Roman"/>
          <w:color w:val="000000"/>
          <w:lang w:val="en-GB" w:eastAsia="fr-FR"/>
        </w:rPr>
        <w:fldChar w:fldCharType="begin"/>
      </w:r>
      <w:r w:rsidR="00F15BCC">
        <w:rPr>
          <w:rFonts w:ascii="Calibri" w:eastAsia="Times New Roman" w:hAnsi="Calibri" w:cs="Times New Roman"/>
          <w:color w:val="000000"/>
          <w:lang w:val="en-GB" w:eastAsia="fr-FR"/>
        </w:rPr>
        <w:instrText xml:space="preserve"> REF _Ref388993164 \h </w:instrText>
      </w:r>
      <w:r w:rsidR="00F15BCC">
        <w:rPr>
          <w:rFonts w:ascii="Calibri" w:eastAsia="Times New Roman" w:hAnsi="Calibri" w:cs="Times New Roman"/>
          <w:color w:val="000000"/>
          <w:lang w:val="en-GB" w:eastAsia="fr-FR"/>
        </w:rPr>
      </w:r>
      <w:r w:rsidR="00F15BCC">
        <w:rPr>
          <w:rFonts w:ascii="Calibri" w:eastAsia="Times New Roman" w:hAnsi="Calibri" w:cs="Times New Roman"/>
          <w:color w:val="000000"/>
          <w:lang w:val="en-GB" w:eastAsia="fr-FR"/>
        </w:rPr>
        <w:fldChar w:fldCharType="separate"/>
      </w:r>
      <w:r w:rsidR="00F15BCC">
        <w:t xml:space="preserve">Figure </w:t>
      </w:r>
      <w:r w:rsidR="00F15BCC">
        <w:rPr>
          <w:noProof/>
        </w:rPr>
        <w:t>3</w:t>
      </w:r>
      <w:r w:rsidR="00F15BCC">
        <w:rPr>
          <w:rFonts w:ascii="Calibri" w:eastAsia="Times New Roman" w:hAnsi="Calibri" w:cs="Times New Roman"/>
          <w:color w:val="000000"/>
          <w:lang w:val="en-GB" w:eastAsia="fr-FR"/>
        </w:rPr>
        <w:fldChar w:fldCharType="end"/>
      </w:r>
      <w:r w:rsidR="00F15BCC">
        <w:rPr>
          <w:rFonts w:ascii="Calibri" w:eastAsia="Times New Roman" w:hAnsi="Calibri" w:cs="Times New Roman"/>
          <w:color w:val="000000"/>
          <w:lang w:val="en-GB" w:eastAsia="fr-FR"/>
        </w:rPr>
        <w:t xml:space="preserve"> and </w:t>
      </w:r>
      <w:r w:rsidR="00F15BCC">
        <w:rPr>
          <w:rFonts w:ascii="Calibri" w:eastAsia="Times New Roman" w:hAnsi="Calibri" w:cs="Times New Roman"/>
          <w:color w:val="000000"/>
          <w:lang w:val="en-GB" w:eastAsia="fr-FR"/>
        </w:rPr>
        <w:fldChar w:fldCharType="begin"/>
      </w:r>
      <w:r w:rsidR="00F15BCC">
        <w:rPr>
          <w:rFonts w:ascii="Calibri" w:eastAsia="Times New Roman" w:hAnsi="Calibri" w:cs="Times New Roman"/>
          <w:color w:val="000000"/>
          <w:lang w:val="en-GB" w:eastAsia="fr-FR"/>
        </w:rPr>
        <w:instrText xml:space="preserve"> REF _Ref388993172 \h </w:instrText>
      </w:r>
      <w:r w:rsidR="00F15BCC">
        <w:rPr>
          <w:rFonts w:ascii="Calibri" w:eastAsia="Times New Roman" w:hAnsi="Calibri" w:cs="Times New Roman"/>
          <w:color w:val="000000"/>
          <w:lang w:val="en-GB" w:eastAsia="fr-FR"/>
        </w:rPr>
      </w:r>
      <w:r w:rsidR="00F15BCC">
        <w:rPr>
          <w:rFonts w:ascii="Calibri" w:eastAsia="Times New Roman" w:hAnsi="Calibri" w:cs="Times New Roman"/>
          <w:color w:val="000000"/>
          <w:lang w:val="en-GB" w:eastAsia="fr-FR"/>
        </w:rPr>
        <w:fldChar w:fldCharType="separate"/>
      </w:r>
      <w:r w:rsidR="00F15BCC">
        <w:t xml:space="preserve">Figure </w:t>
      </w:r>
      <w:r w:rsidR="00F15BCC">
        <w:rPr>
          <w:noProof/>
        </w:rPr>
        <w:t>4</w:t>
      </w:r>
      <w:r w:rsidR="00F15BCC">
        <w:rPr>
          <w:rFonts w:ascii="Calibri" w:eastAsia="Times New Roman" w:hAnsi="Calibri" w:cs="Times New Roman"/>
          <w:color w:val="000000"/>
          <w:lang w:val="en-GB" w:eastAsia="fr-FR"/>
        </w:rPr>
        <w:fldChar w:fldCharType="end"/>
      </w:r>
      <w:r w:rsidR="00F15BCC">
        <w:rPr>
          <w:rFonts w:ascii="Calibri" w:eastAsia="Times New Roman" w:hAnsi="Calibri" w:cs="Times New Roman"/>
          <w:color w:val="000000"/>
          <w:lang w:val="en-GB" w:eastAsia="fr-FR"/>
        </w:rPr>
        <w:t xml:space="preserve"> below</w:t>
      </w:r>
      <w:r w:rsidR="0096261B">
        <w:rPr>
          <w:rFonts w:ascii="Calibri" w:eastAsia="Times New Roman" w:hAnsi="Calibri" w:cs="Times New Roman"/>
          <w:color w:val="000000"/>
          <w:lang w:val="en-GB" w:eastAsia="fr-FR"/>
        </w:rPr>
        <w:t xml:space="preserve"> for five groups of countries</w:t>
      </w:r>
      <w:r w:rsidR="00F15BCC">
        <w:rPr>
          <w:rFonts w:ascii="Calibri" w:eastAsia="Times New Roman" w:hAnsi="Calibri" w:cs="Times New Roman"/>
          <w:color w:val="000000"/>
          <w:lang w:val="en-GB" w:eastAsia="fr-FR"/>
        </w:rPr>
        <w:t>.</w:t>
      </w:r>
      <w:r w:rsidR="00803EB9">
        <w:rPr>
          <w:rStyle w:val="FootnoteReference"/>
          <w:rFonts w:ascii="Calibri" w:eastAsia="Times New Roman" w:hAnsi="Calibri" w:cs="Times New Roman"/>
          <w:color w:val="000000"/>
          <w:lang w:val="en-GB" w:eastAsia="fr-FR"/>
        </w:rPr>
        <w:footnoteReference w:id="21"/>
      </w:r>
    </w:p>
    <w:p w14:paraId="198E6749" w14:textId="734508F7" w:rsidR="007910D7" w:rsidRPr="00AD3850" w:rsidRDefault="007910D7" w:rsidP="00F07DBE">
      <w:pPr>
        <w:rPr>
          <w:rFonts w:ascii="Calibri" w:eastAsia="Times New Roman" w:hAnsi="Calibri" w:cs="Times New Roman"/>
          <w:b/>
          <w:color w:val="000000"/>
          <w:lang w:val="en-GB" w:eastAsia="fr-FR"/>
        </w:rPr>
      </w:pPr>
      <w:r w:rsidRPr="00AD3850">
        <w:rPr>
          <w:rFonts w:ascii="Calibri" w:eastAsia="Times New Roman" w:hAnsi="Calibri" w:cs="Times New Roman"/>
          <w:b/>
          <w:color w:val="000000"/>
          <w:lang w:val="en-GB" w:eastAsia="fr-FR"/>
        </w:rPr>
        <w:t>It should be noted clearly that the groups represented</w:t>
      </w:r>
      <w:r w:rsidR="008E64A1" w:rsidRPr="00AD3850">
        <w:rPr>
          <w:rFonts w:ascii="Calibri" w:eastAsia="Times New Roman" w:hAnsi="Calibri" w:cs="Times New Roman"/>
          <w:b/>
          <w:color w:val="000000"/>
          <w:lang w:val="en-GB" w:eastAsia="fr-FR"/>
        </w:rPr>
        <w:t xml:space="preserve"> are</w:t>
      </w:r>
      <w:r w:rsidRPr="00AD3850">
        <w:rPr>
          <w:rFonts w:ascii="Calibri" w:eastAsia="Times New Roman" w:hAnsi="Calibri" w:cs="Times New Roman"/>
          <w:b/>
          <w:color w:val="000000"/>
          <w:lang w:val="en-GB" w:eastAsia="fr-FR"/>
        </w:rPr>
        <w:t xml:space="preserve"> purely </w:t>
      </w:r>
      <w:r w:rsidRPr="00617D5E">
        <w:rPr>
          <w:rFonts w:ascii="Calibri" w:eastAsia="Times New Roman" w:hAnsi="Calibri" w:cs="Times New Roman"/>
          <w:b/>
          <w:color w:val="000000"/>
          <w:lang w:val="en-GB" w:eastAsia="fr-FR"/>
        </w:rPr>
        <w:t>illustrative. The Warsaw decision stated that mitigation targets would be nationally-determined.</w:t>
      </w:r>
      <w:r w:rsidR="00137882" w:rsidRPr="00617D5E">
        <w:rPr>
          <w:rStyle w:val="FootnoteReference"/>
          <w:rFonts w:ascii="Calibri" w:eastAsia="Times New Roman" w:hAnsi="Calibri" w:cs="Times New Roman"/>
          <w:b/>
          <w:color w:val="000000"/>
          <w:lang w:val="en-GB" w:eastAsia="fr-FR"/>
        </w:rPr>
        <w:footnoteReference w:id="22"/>
      </w:r>
      <w:r w:rsidRPr="00617D5E">
        <w:rPr>
          <w:rFonts w:ascii="Calibri" w:eastAsia="Times New Roman" w:hAnsi="Calibri" w:cs="Times New Roman"/>
          <w:b/>
          <w:color w:val="000000"/>
          <w:lang w:val="en-GB" w:eastAsia="fr-FR"/>
        </w:rPr>
        <w:t xml:space="preserve"> In addition, any groupings are of course subject to discussion, given the imperfect overlap between different internationally used </w:t>
      </w:r>
      <w:r w:rsidR="00292C2C" w:rsidRPr="00617D5E">
        <w:rPr>
          <w:rFonts w:ascii="Calibri" w:eastAsia="Times New Roman" w:hAnsi="Calibri" w:cs="Times New Roman"/>
          <w:b/>
          <w:color w:val="000000"/>
          <w:lang w:val="en-GB" w:eastAsia="fr-FR"/>
        </w:rPr>
        <w:t>classifications</w:t>
      </w:r>
      <w:r w:rsidRPr="00617D5E">
        <w:rPr>
          <w:rFonts w:ascii="Calibri" w:eastAsia="Times New Roman" w:hAnsi="Calibri" w:cs="Times New Roman"/>
          <w:b/>
          <w:color w:val="000000"/>
          <w:lang w:val="en-GB" w:eastAsia="fr-FR"/>
        </w:rPr>
        <w:t>, negotiation groups, and</w:t>
      </w:r>
      <w:r w:rsidR="008E64A1" w:rsidRPr="00617D5E">
        <w:rPr>
          <w:rFonts w:ascii="Calibri" w:eastAsia="Times New Roman" w:hAnsi="Calibri" w:cs="Times New Roman"/>
          <w:b/>
          <w:color w:val="000000"/>
          <w:lang w:val="en-GB" w:eastAsia="fr-FR"/>
        </w:rPr>
        <w:t xml:space="preserve"> different</w:t>
      </w:r>
      <w:r w:rsidRPr="00617D5E">
        <w:rPr>
          <w:rFonts w:ascii="Calibri" w:eastAsia="Times New Roman" w:hAnsi="Calibri" w:cs="Times New Roman"/>
          <w:b/>
          <w:color w:val="000000"/>
          <w:lang w:val="en-GB" w:eastAsia="fr-FR"/>
        </w:rPr>
        <w:t xml:space="preserve"> objective criteria</w:t>
      </w:r>
      <w:r w:rsidR="008E64A1" w:rsidRPr="00617D5E">
        <w:rPr>
          <w:rFonts w:ascii="Calibri" w:eastAsia="Times New Roman" w:hAnsi="Calibri" w:cs="Times New Roman"/>
          <w:b/>
          <w:color w:val="000000"/>
          <w:lang w:val="en-GB" w:eastAsia="fr-FR"/>
        </w:rPr>
        <w:t xml:space="preserve"> like GDP per capita or overall economic size</w:t>
      </w:r>
      <w:r w:rsidRPr="00617D5E">
        <w:rPr>
          <w:rFonts w:ascii="Calibri" w:eastAsia="Times New Roman" w:hAnsi="Calibri" w:cs="Times New Roman"/>
          <w:b/>
          <w:color w:val="000000"/>
          <w:lang w:val="en-GB" w:eastAsia="fr-FR"/>
        </w:rPr>
        <w:t xml:space="preserve">. </w:t>
      </w:r>
      <w:r w:rsidR="00F455A7" w:rsidRPr="00617D5E">
        <w:rPr>
          <w:rFonts w:ascii="Calibri" w:eastAsia="Times New Roman" w:hAnsi="Calibri" w:cs="Times New Roman"/>
          <w:b/>
          <w:color w:val="000000"/>
          <w:lang w:val="en-GB" w:eastAsia="fr-FR"/>
        </w:rPr>
        <w:t>Furthermore, it is difficult to capture the mitigation and development</w:t>
      </w:r>
      <w:r w:rsidR="00292C2C" w:rsidRPr="00617D5E">
        <w:rPr>
          <w:rFonts w:ascii="Calibri" w:eastAsia="Times New Roman" w:hAnsi="Calibri" w:cs="Times New Roman"/>
          <w:b/>
          <w:color w:val="000000"/>
          <w:lang w:val="en-GB" w:eastAsia="fr-FR"/>
        </w:rPr>
        <w:t xml:space="preserve"> opportunities and</w:t>
      </w:r>
      <w:r w:rsidR="00F455A7" w:rsidRPr="00617D5E">
        <w:rPr>
          <w:rFonts w:ascii="Calibri" w:eastAsia="Times New Roman" w:hAnsi="Calibri" w:cs="Times New Roman"/>
          <w:b/>
          <w:color w:val="000000"/>
          <w:lang w:val="en-GB" w:eastAsia="fr-FR"/>
        </w:rPr>
        <w:t xml:space="preserve"> challenges</w:t>
      </w:r>
      <w:r w:rsidR="00292C2C" w:rsidRPr="00617D5E">
        <w:rPr>
          <w:rFonts w:ascii="Calibri" w:eastAsia="Times New Roman" w:hAnsi="Calibri" w:cs="Times New Roman"/>
          <w:b/>
          <w:color w:val="000000"/>
          <w:lang w:val="en-GB" w:eastAsia="fr-FR"/>
        </w:rPr>
        <w:t xml:space="preserve"> faced by countries only using one or two indicators.</w:t>
      </w:r>
      <w:r w:rsidR="00F455A7" w:rsidRPr="00617D5E">
        <w:rPr>
          <w:rFonts w:ascii="Calibri" w:eastAsia="Times New Roman" w:hAnsi="Calibri" w:cs="Times New Roman"/>
          <w:b/>
          <w:color w:val="000000"/>
          <w:lang w:val="en-GB" w:eastAsia="fr-FR"/>
        </w:rPr>
        <w:t xml:space="preserve"> </w:t>
      </w:r>
      <w:r w:rsidRPr="00617D5E">
        <w:rPr>
          <w:rFonts w:ascii="Calibri" w:eastAsia="Times New Roman" w:hAnsi="Calibri" w:cs="Times New Roman"/>
          <w:b/>
          <w:color w:val="000000"/>
          <w:lang w:val="en-GB" w:eastAsia="fr-FR"/>
        </w:rPr>
        <w:t>In this sense the figures below are intended to give merely an illustration of how conditions have changed in broad groupings since 1990. This can help give an insight into the different kinds of mitigation challenge</w:t>
      </w:r>
      <w:r w:rsidR="008E64A1" w:rsidRPr="00617D5E">
        <w:rPr>
          <w:rFonts w:ascii="Calibri" w:eastAsia="Times New Roman" w:hAnsi="Calibri" w:cs="Times New Roman"/>
          <w:b/>
          <w:color w:val="000000"/>
          <w:lang w:val="en-GB" w:eastAsia="fr-FR"/>
        </w:rPr>
        <w:t>s</w:t>
      </w:r>
      <w:r w:rsidRPr="00617D5E">
        <w:rPr>
          <w:rFonts w:ascii="Calibri" w:eastAsia="Times New Roman" w:hAnsi="Calibri" w:cs="Times New Roman"/>
          <w:b/>
          <w:color w:val="000000"/>
          <w:lang w:val="en-GB" w:eastAsia="fr-FR"/>
        </w:rPr>
        <w:t xml:space="preserve"> that the members of the different groups</w:t>
      </w:r>
      <w:r w:rsidR="008E64A1" w:rsidRPr="00617D5E">
        <w:rPr>
          <w:rFonts w:ascii="Calibri" w:eastAsia="Times New Roman" w:hAnsi="Calibri" w:cs="Times New Roman"/>
          <w:b/>
          <w:color w:val="000000"/>
          <w:lang w:val="en-GB" w:eastAsia="fr-FR"/>
        </w:rPr>
        <w:t xml:space="preserve"> tend to</w:t>
      </w:r>
      <w:r w:rsidRPr="00617D5E">
        <w:rPr>
          <w:rFonts w:ascii="Calibri" w:eastAsia="Times New Roman" w:hAnsi="Calibri" w:cs="Times New Roman"/>
          <w:b/>
          <w:color w:val="000000"/>
          <w:lang w:val="en-GB" w:eastAsia="fr-FR"/>
        </w:rPr>
        <w:t xml:space="preserve"> face.     </w:t>
      </w:r>
    </w:p>
    <w:p w14:paraId="1094CFEE" w14:textId="3A75F393" w:rsidR="00654B55" w:rsidRDefault="0017157A" w:rsidP="00F07DBE">
      <w:pP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 xml:space="preserve">The </w:t>
      </w:r>
      <w:r w:rsidR="007910D7">
        <w:rPr>
          <w:rFonts w:ascii="Calibri" w:eastAsia="Times New Roman" w:hAnsi="Calibri" w:cs="Times New Roman"/>
          <w:color w:val="000000"/>
          <w:lang w:val="en-GB" w:eastAsia="fr-FR"/>
        </w:rPr>
        <w:t>five</w:t>
      </w:r>
      <w:r>
        <w:rPr>
          <w:rFonts w:ascii="Calibri" w:eastAsia="Times New Roman" w:hAnsi="Calibri" w:cs="Times New Roman"/>
          <w:color w:val="000000"/>
          <w:lang w:val="en-GB" w:eastAsia="fr-FR"/>
        </w:rPr>
        <w:t xml:space="preserve"> groups of countries represented are as follows</w:t>
      </w:r>
      <w:r w:rsidR="00654B55">
        <w:rPr>
          <w:rFonts w:ascii="Calibri" w:eastAsia="Times New Roman" w:hAnsi="Calibri" w:cs="Times New Roman"/>
          <w:color w:val="000000"/>
          <w:lang w:val="en-GB" w:eastAsia="fr-FR"/>
        </w:rPr>
        <w:t>:</w:t>
      </w:r>
      <w:r>
        <w:rPr>
          <w:rFonts w:ascii="Calibri" w:eastAsia="Times New Roman" w:hAnsi="Calibri" w:cs="Times New Roman"/>
          <w:color w:val="000000"/>
          <w:lang w:val="en-GB" w:eastAsia="fr-FR"/>
        </w:rPr>
        <w:t xml:space="preserve"> </w:t>
      </w:r>
    </w:p>
    <w:p w14:paraId="1671F3F4" w14:textId="2BE79517" w:rsidR="007910D7" w:rsidRDefault="0017157A" w:rsidP="00654B55">
      <w:pPr>
        <w:pStyle w:val="ListParagraph"/>
        <w:numPr>
          <w:ilvl w:val="0"/>
          <w:numId w:val="25"/>
        </w:numPr>
        <w:rPr>
          <w:rFonts w:ascii="Calibri" w:eastAsia="Times New Roman" w:hAnsi="Calibri" w:cs="Times New Roman"/>
          <w:color w:val="000000"/>
          <w:lang w:val="en-GB" w:eastAsia="fr-FR"/>
        </w:rPr>
      </w:pPr>
      <w:r w:rsidRPr="00BA0EDC">
        <w:rPr>
          <w:rFonts w:ascii="Calibri" w:eastAsia="Times New Roman" w:hAnsi="Calibri" w:cs="Times New Roman"/>
          <w:i/>
          <w:color w:val="000000"/>
          <w:lang w:val="en-GB" w:eastAsia="fr-FR"/>
        </w:rPr>
        <w:t xml:space="preserve">Annex 1 </w:t>
      </w:r>
      <w:proofErr w:type="gramStart"/>
      <w:r w:rsidRPr="00BA0EDC">
        <w:rPr>
          <w:rFonts w:ascii="Calibri" w:eastAsia="Times New Roman" w:hAnsi="Calibri" w:cs="Times New Roman"/>
          <w:i/>
          <w:color w:val="000000"/>
          <w:lang w:val="en-GB" w:eastAsia="fr-FR"/>
        </w:rPr>
        <w:t>countries</w:t>
      </w:r>
      <w:proofErr w:type="gramEnd"/>
      <w:r w:rsidRPr="00654B55">
        <w:rPr>
          <w:rFonts w:ascii="Calibri" w:eastAsia="Times New Roman" w:hAnsi="Calibri" w:cs="Times New Roman"/>
          <w:color w:val="000000"/>
          <w:lang w:val="en-GB" w:eastAsia="fr-FR"/>
        </w:rPr>
        <w:t>.</w:t>
      </w:r>
      <w:r w:rsidR="007910D7">
        <w:rPr>
          <w:rFonts w:ascii="Calibri" w:eastAsia="Times New Roman" w:hAnsi="Calibri" w:cs="Times New Roman"/>
          <w:color w:val="000000"/>
          <w:lang w:val="en-GB" w:eastAsia="fr-FR"/>
        </w:rPr>
        <w:t xml:space="preserve"> All countries represented in Annex 1 of the Convention. It should be noted that even this group contains significant diversity, e.g. between Ukraine and the US.  </w:t>
      </w:r>
    </w:p>
    <w:p w14:paraId="05610C5A" w14:textId="2C1C3514" w:rsidR="00654B55" w:rsidRDefault="007910D7" w:rsidP="00654B55">
      <w:pPr>
        <w:pStyle w:val="ListParagraph"/>
        <w:numPr>
          <w:ilvl w:val="0"/>
          <w:numId w:val="25"/>
        </w:numPr>
        <w:rPr>
          <w:rFonts w:ascii="Calibri" w:eastAsia="Times New Roman" w:hAnsi="Calibri" w:cs="Times New Roman"/>
          <w:color w:val="000000"/>
          <w:lang w:val="en-GB" w:eastAsia="fr-FR"/>
        </w:rPr>
      </w:pPr>
      <w:r w:rsidRPr="00BA0EDC">
        <w:rPr>
          <w:rFonts w:ascii="Calibri" w:eastAsia="Times New Roman" w:hAnsi="Calibri" w:cs="Times New Roman"/>
          <w:i/>
          <w:color w:val="000000"/>
          <w:lang w:val="en-GB" w:eastAsia="fr-FR"/>
        </w:rPr>
        <w:t xml:space="preserve">Major oil and gas </w:t>
      </w:r>
      <w:proofErr w:type="gramStart"/>
      <w:r w:rsidRPr="00BA0EDC">
        <w:rPr>
          <w:rFonts w:ascii="Calibri" w:eastAsia="Times New Roman" w:hAnsi="Calibri" w:cs="Times New Roman"/>
          <w:i/>
          <w:color w:val="000000"/>
          <w:lang w:val="en-GB" w:eastAsia="fr-FR"/>
        </w:rPr>
        <w:t>exporters</w:t>
      </w:r>
      <w:proofErr w:type="gramEnd"/>
      <w:r w:rsidRPr="00BA0EDC">
        <w:rPr>
          <w:rFonts w:ascii="Calibri" w:eastAsia="Times New Roman" w:hAnsi="Calibri" w:cs="Times New Roman"/>
          <w:i/>
          <w:color w:val="000000"/>
          <w:lang w:val="en-GB" w:eastAsia="fr-FR"/>
        </w:rPr>
        <w:t xml:space="preserve"> non-Annex 1</w:t>
      </w:r>
      <w:r>
        <w:rPr>
          <w:rFonts w:ascii="Calibri" w:eastAsia="Times New Roman" w:hAnsi="Calibri" w:cs="Times New Roman"/>
          <w:color w:val="000000"/>
          <w:lang w:val="en-GB" w:eastAsia="fr-FR"/>
        </w:rPr>
        <w:t>. These are the members of the Major Petroleum and Gas Exporters classification of the United Nations Conference on Trade and Development (UNCTAD), with GDP per capita at PPP above</w:t>
      </w:r>
      <w:r w:rsidR="00281D74">
        <w:rPr>
          <w:rFonts w:ascii="Calibri" w:eastAsia="Times New Roman" w:hAnsi="Calibri" w:cs="Times New Roman"/>
          <w:color w:val="000000"/>
          <w:lang w:val="en-GB" w:eastAsia="fr-FR"/>
        </w:rPr>
        <w:t xml:space="preserve"> USD</w:t>
      </w:r>
      <w:r>
        <w:rPr>
          <w:rFonts w:ascii="Calibri" w:eastAsia="Times New Roman" w:hAnsi="Calibri" w:cs="Times New Roman"/>
          <w:color w:val="000000"/>
          <w:lang w:val="en-GB" w:eastAsia="fr-FR"/>
        </w:rPr>
        <w:t xml:space="preserve"> 15 000 in 2012 and members of non-Annex 1. These countries have a particular challenge of economic diversification and the management of large resource rents</w:t>
      </w:r>
      <w:r w:rsidR="00292C2C">
        <w:rPr>
          <w:rFonts w:ascii="Calibri" w:eastAsia="Times New Roman" w:hAnsi="Calibri" w:cs="Times New Roman"/>
          <w:color w:val="000000"/>
          <w:lang w:val="en-GB" w:eastAsia="fr-FR"/>
        </w:rPr>
        <w:t>, as well as high emissions and GDP per capita</w:t>
      </w:r>
      <w:r>
        <w:rPr>
          <w:rFonts w:ascii="Calibri" w:eastAsia="Times New Roman" w:hAnsi="Calibri" w:cs="Times New Roman"/>
          <w:color w:val="000000"/>
          <w:lang w:val="en-GB" w:eastAsia="fr-FR"/>
        </w:rPr>
        <w:t>.</w:t>
      </w:r>
      <w:r>
        <w:rPr>
          <w:rStyle w:val="FootnoteReference"/>
          <w:rFonts w:ascii="Calibri" w:eastAsia="Times New Roman" w:hAnsi="Calibri" w:cs="Times New Roman"/>
          <w:color w:val="000000"/>
          <w:lang w:val="en-GB" w:eastAsia="fr-FR"/>
        </w:rPr>
        <w:footnoteReference w:id="23"/>
      </w:r>
      <w:r>
        <w:rPr>
          <w:rFonts w:ascii="Calibri" w:eastAsia="Times New Roman" w:hAnsi="Calibri" w:cs="Times New Roman"/>
          <w:color w:val="000000"/>
          <w:lang w:val="en-GB" w:eastAsia="fr-FR"/>
        </w:rPr>
        <w:t xml:space="preserve">   </w:t>
      </w:r>
      <w:r w:rsidR="0017157A" w:rsidRPr="00654B55">
        <w:rPr>
          <w:rFonts w:ascii="Calibri" w:eastAsia="Times New Roman" w:hAnsi="Calibri" w:cs="Times New Roman"/>
          <w:color w:val="000000"/>
          <w:lang w:val="en-GB" w:eastAsia="fr-FR"/>
        </w:rPr>
        <w:t xml:space="preserve"> </w:t>
      </w:r>
    </w:p>
    <w:p w14:paraId="64ED92A2" w14:textId="5A0E3461" w:rsidR="0017157A" w:rsidRDefault="00654B55" w:rsidP="00654B55">
      <w:pPr>
        <w:pStyle w:val="ListParagraph"/>
        <w:numPr>
          <w:ilvl w:val="0"/>
          <w:numId w:val="25"/>
        </w:numPr>
        <w:rPr>
          <w:rFonts w:ascii="Calibri" w:eastAsia="Times New Roman" w:hAnsi="Calibri" w:cs="Times New Roman"/>
          <w:color w:val="000000"/>
          <w:lang w:val="en-GB" w:eastAsia="fr-FR"/>
        </w:rPr>
      </w:pPr>
      <w:r w:rsidRPr="00BA0EDC">
        <w:rPr>
          <w:rFonts w:ascii="Calibri" w:eastAsia="Times New Roman" w:hAnsi="Calibri" w:cs="Times New Roman"/>
          <w:i/>
          <w:color w:val="000000"/>
          <w:lang w:val="en-GB" w:eastAsia="fr-FR"/>
        </w:rPr>
        <w:lastRenderedPageBreak/>
        <w:t>H</w:t>
      </w:r>
      <w:r w:rsidR="0017157A" w:rsidRPr="00BA0EDC">
        <w:rPr>
          <w:rFonts w:ascii="Calibri" w:eastAsia="Times New Roman" w:hAnsi="Calibri" w:cs="Times New Roman"/>
          <w:i/>
          <w:color w:val="000000"/>
          <w:lang w:val="en-GB" w:eastAsia="fr-FR"/>
        </w:rPr>
        <w:t>igher GDP, non-Annex 1 countries</w:t>
      </w:r>
      <w:r w:rsidR="0017157A" w:rsidRPr="00654B55">
        <w:rPr>
          <w:rFonts w:ascii="Calibri" w:eastAsia="Times New Roman" w:hAnsi="Calibri" w:cs="Times New Roman"/>
          <w:color w:val="000000"/>
          <w:lang w:val="en-GB" w:eastAsia="fr-FR"/>
        </w:rPr>
        <w:t>.</w:t>
      </w:r>
      <w:r w:rsidR="00281D74">
        <w:rPr>
          <w:rFonts w:ascii="Calibri" w:eastAsia="Times New Roman" w:hAnsi="Calibri" w:cs="Times New Roman"/>
          <w:color w:val="000000"/>
          <w:lang w:val="en-GB" w:eastAsia="fr-FR"/>
        </w:rPr>
        <w:t xml:space="preserve"> These countries are non-Annex 1 countries with a GDP per capita above USD 15 000 in 2012, who do not fall into group 2 above. These countries include newly industrialized countries, which have largely gone through important processes of demographic shift, urbanization and industrialization.</w:t>
      </w:r>
      <w:r w:rsidR="00281D74">
        <w:rPr>
          <w:rStyle w:val="FootnoteReference"/>
          <w:rFonts w:ascii="Calibri" w:eastAsia="Times New Roman" w:hAnsi="Calibri" w:cs="Times New Roman"/>
          <w:color w:val="000000"/>
          <w:lang w:val="en-GB" w:eastAsia="fr-FR"/>
        </w:rPr>
        <w:footnoteReference w:id="24"/>
      </w:r>
      <w:r w:rsidR="0017157A" w:rsidRPr="00654B55">
        <w:rPr>
          <w:rFonts w:ascii="Calibri" w:eastAsia="Times New Roman" w:hAnsi="Calibri" w:cs="Times New Roman"/>
          <w:color w:val="000000"/>
          <w:lang w:val="en-GB" w:eastAsia="fr-FR"/>
        </w:rPr>
        <w:t xml:space="preserve"> </w:t>
      </w:r>
      <w:r w:rsidR="00F15BCC" w:rsidRPr="00654B55">
        <w:rPr>
          <w:rFonts w:ascii="Calibri" w:eastAsia="Times New Roman" w:hAnsi="Calibri" w:cs="Times New Roman"/>
          <w:color w:val="000000"/>
          <w:lang w:val="en-GB" w:eastAsia="fr-FR"/>
        </w:rPr>
        <w:t xml:space="preserve"> </w:t>
      </w:r>
    </w:p>
    <w:p w14:paraId="6A7FBC78" w14:textId="48BCE196" w:rsidR="00654B55" w:rsidRDefault="00654B55" w:rsidP="00654B55">
      <w:pPr>
        <w:pStyle w:val="ListParagraph"/>
        <w:numPr>
          <w:ilvl w:val="0"/>
          <w:numId w:val="25"/>
        </w:numPr>
        <w:rPr>
          <w:rFonts w:ascii="Calibri" w:eastAsia="Times New Roman" w:hAnsi="Calibri" w:cs="Times New Roman"/>
          <w:color w:val="000000"/>
          <w:lang w:val="en-GB" w:eastAsia="fr-FR"/>
        </w:rPr>
      </w:pPr>
      <w:r w:rsidRPr="00BA0EDC">
        <w:rPr>
          <w:rFonts w:ascii="Calibri" w:eastAsia="Times New Roman" w:hAnsi="Calibri" w:cs="Times New Roman"/>
          <w:i/>
          <w:color w:val="000000"/>
          <w:lang w:val="en-GB" w:eastAsia="fr-FR"/>
        </w:rPr>
        <w:t>Emerging non-Annex 1 countries</w:t>
      </w:r>
      <w:r>
        <w:rPr>
          <w:rFonts w:ascii="Calibri" w:eastAsia="Times New Roman" w:hAnsi="Calibri" w:cs="Times New Roman"/>
          <w:color w:val="000000"/>
          <w:lang w:val="en-GB" w:eastAsia="fr-FR"/>
        </w:rPr>
        <w:t>.</w:t>
      </w:r>
      <w:r w:rsidR="00281D74">
        <w:rPr>
          <w:rFonts w:ascii="Calibri" w:eastAsia="Times New Roman" w:hAnsi="Calibri" w:cs="Times New Roman"/>
          <w:color w:val="000000"/>
          <w:lang w:val="en-GB" w:eastAsia="fr-FR"/>
        </w:rPr>
        <w:t xml:space="preserve"> This group includes all countries with a GDP/capita between USD 7 000 and 15 </w:t>
      </w:r>
      <w:r w:rsidR="00281D74" w:rsidRPr="00F0133B">
        <w:rPr>
          <w:rFonts w:ascii="Calibri" w:eastAsia="Times New Roman" w:hAnsi="Calibri" w:cs="Times New Roman"/>
          <w:color w:val="000000"/>
          <w:lang w:val="en-GB" w:eastAsia="fr-FR"/>
        </w:rPr>
        <w:t>000.</w:t>
      </w:r>
      <w:r w:rsidR="00F455A7" w:rsidRPr="00F0133B">
        <w:rPr>
          <w:rFonts w:ascii="Calibri" w:eastAsia="Times New Roman" w:hAnsi="Calibri" w:cs="Times New Roman"/>
          <w:color w:val="000000"/>
          <w:lang w:val="en-GB" w:eastAsia="fr-FR"/>
        </w:rPr>
        <w:t xml:space="preserve"> </w:t>
      </w:r>
      <w:r w:rsidR="00292C2C" w:rsidRPr="00043C41">
        <w:rPr>
          <w:rFonts w:ascii="Calibri" w:eastAsia="Times New Roman" w:hAnsi="Calibri" w:cs="Times New Roman"/>
          <w:color w:val="000000"/>
          <w:lang w:val="en-GB" w:eastAsia="fr-FR"/>
        </w:rPr>
        <w:t>Of course this cut</w:t>
      </w:r>
      <w:r w:rsidR="00AD3850">
        <w:rPr>
          <w:rFonts w:ascii="Calibri" w:eastAsia="Times New Roman" w:hAnsi="Calibri" w:cs="Times New Roman"/>
          <w:color w:val="000000"/>
          <w:lang w:val="en-GB" w:eastAsia="fr-FR"/>
        </w:rPr>
        <w:t>-</w:t>
      </w:r>
      <w:r w:rsidR="00292C2C" w:rsidRPr="00043C41">
        <w:rPr>
          <w:rFonts w:ascii="Calibri" w:eastAsia="Times New Roman" w:hAnsi="Calibri" w:cs="Times New Roman"/>
          <w:color w:val="000000"/>
          <w:lang w:val="en-GB" w:eastAsia="fr-FR"/>
        </w:rPr>
        <w:t xml:space="preserve">off is subject to discussion, although the largest countries weigh most on the outcome here and adjusting the </w:t>
      </w:r>
      <w:r w:rsidR="00AD3850" w:rsidRPr="00043C41">
        <w:rPr>
          <w:rFonts w:ascii="Calibri" w:eastAsia="Times New Roman" w:hAnsi="Calibri" w:cs="Times New Roman"/>
          <w:color w:val="000000"/>
          <w:lang w:val="en-GB" w:eastAsia="fr-FR"/>
        </w:rPr>
        <w:t>cut</w:t>
      </w:r>
      <w:r w:rsidR="00AD3850">
        <w:rPr>
          <w:rFonts w:ascii="Calibri" w:eastAsia="Times New Roman" w:hAnsi="Calibri" w:cs="Times New Roman"/>
          <w:color w:val="000000"/>
          <w:lang w:val="en-GB" w:eastAsia="fr-FR"/>
        </w:rPr>
        <w:t>-</w:t>
      </w:r>
      <w:r w:rsidR="00292C2C" w:rsidRPr="00043C41">
        <w:rPr>
          <w:rFonts w:ascii="Calibri" w:eastAsia="Times New Roman" w:hAnsi="Calibri" w:cs="Times New Roman"/>
          <w:color w:val="000000"/>
          <w:lang w:val="en-GB" w:eastAsia="fr-FR"/>
        </w:rPr>
        <w:t>off is unlikely to significantly impact the group</w:t>
      </w:r>
      <w:r w:rsidR="004F58A8" w:rsidRPr="00043C41">
        <w:rPr>
          <w:rFonts w:ascii="Calibri" w:eastAsia="Times New Roman" w:hAnsi="Calibri" w:cs="Times New Roman"/>
          <w:color w:val="000000"/>
          <w:lang w:val="en-GB" w:eastAsia="fr-FR"/>
        </w:rPr>
        <w:t xml:space="preserve"> weighted</w:t>
      </w:r>
      <w:r w:rsidR="00292C2C" w:rsidRPr="00043C41">
        <w:rPr>
          <w:rFonts w:ascii="Calibri" w:eastAsia="Times New Roman" w:hAnsi="Calibri" w:cs="Times New Roman"/>
          <w:color w:val="000000"/>
          <w:lang w:val="en-GB" w:eastAsia="fr-FR"/>
        </w:rPr>
        <w:t xml:space="preserve"> average</w:t>
      </w:r>
      <w:r w:rsidR="00292C2C" w:rsidRPr="00F0133B">
        <w:rPr>
          <w:rFonts w:ascii="Calibri" w:eastAsia="Times New Roman" w:hAnsi="Calibri" w:cs="Times New Roman"/>
          <w:color w:val="000000"/>
          <w:lang w:val="en-GB" w:eastAsia="fr-FR"/>
        </w:rPr>
        <w:t>.</w:t>
      </w:r>
      <w:r w:rsidR="00281D74" w:rsidRPr="00F0133B">
        <w:rPr>
          <w:rFonts w:ascii="Calibri" w:eastAsia="Times New Roman" w:hAnsi="Calibri" w:cs="Times New Roman"/>
          <w:color w:val="000000"/>
          <w:lang w:val="en-GB" w:eastAsia="fr-FR"/>
        </w:rPr>
        <w:t xml:space="preserve"> Clearly</w:t>
      </w:r>
      <w:r w:rsidR="00281D74">
        <w:rPr>
          <w:rFonts w:ascii="Calibri" w:eastAsia="Times New Roman" w:hAnsi="Calibri" w:cs="Times New Roman"/>
          <w:color w:val="000000"/>
          <w:lang w:val="en-GB" w:eastAsia="fr-FR"/>
        </w:rPr>
        <w:t xml:space="preserve">, </w:t>
      </w:r>
      <w:r w:rsidR="00292C2C">
        <w:rPr>
          <w:rFonts w:ascii="Calibri" w:eastAsia="Times New Roman" w:hAnsi="Calibri" w:cs="Times New Roman"/>
          <w:color w:val="000000"/>
          <w:lang w:val="en-GB" w:eastAsia="fr-FR"/>
        </w:rPr>
        <w:t>the group</w:t>
      </w:r>
      <w:r w:rsidR="00281D74">
        <w:rPr>
          <w:rFonts w:ascii="Calibri" w:eastAsia="Times New Roman" w:hAnsi="Calibri" w:cs="Times New Roman"/>
          <w:color w:val="000000"/>
          <w:lang w:val="en-GB" w:eastAsia="fr-FR"/>
        </w:rPr>
        <w:t xml:space="preserve"> contains some small countries which would not normally be ranked among the ‘emerging countries’ due to smaller market size. However, to be consistent they have been placed in this group based on the quantitative criteria of GDP/capita. </w:t>
      </w:r>
      <w:r w:rsidR="00281D74">
        <w:rPr>
          <w:rFonts w:ascii="Calibri" w:eastAsia="Times New Roman" w:hAnsi="Calibri" w:cs="Times New Roman"/>
          <w:b/>
          <w:color w:val="000000"/>
          <w:lang w:val="en-GB" w:eastAsia="fr-FR"/>
        </w:rPr>
        <w:t xml:space="preserve">The only exception to </w:t>
      </w:r>
      <w:proofErr w:type="gramStart"/>
      <w:r w:rsidR="00281D74">
        <w:rPr>
          <w:rFonts w:ascii="Calibri" w:eastAsia="Times New Roman" w:hAnsi="Calibri" w:cs="Times New Roman"/>
          <w:b/>
          <w:color w:val="000000"/>
          <w:lang w:val="en-GB" w:eastAsia="fr-FR"/>
        </w:rPr>
        <w:t>this quantitative criteria</w:t>
      </w:r>
      <w:proofErr w:type="gramEnd"/>
      <w:r w:rsidR="00281D74">
        <w:rPr>
          <w:rFonts w:ascii="Calibri" w:eastAsia="Times New Roman" w:hAnsi="Calibri" w:cs="Times New Roman"/>
          <w:b/>
          <w:color w:val="000000"/>
          <w:lang w:val="en-GB" w:eastAsia="fr-FR"/>
        </w:rPr>
        <w:t xml:space="preserve"> is India, which has been placed in this group due to its large size, traditional place in international classifications of emerging countries, and role within the BASIC group</w:t>
      </w:r>
      <w:r w:rsidR="008E64A1">
        <w:rPr>
          <w:rFonts w:ascii="Calibri" w:eastAsia="Times New Roman" w:hAnsi="Calibri" w:cs="Times New Roman"/>
          <w:b/>
          <w:color w:val="000000"/>
          <w:lang w:val="en-GB" w:eastAsia="fr-FR"/>
        </w:rPr>
        <w:t xml:space="preserve"> in the climate negotiations</w:t>
      </w:r>
      <w:r w:rsidR="00281D74">
        <w:rPr>
          <w:rFonts w:ascii="Calibri" w:eastAsia="Times New Roman" w:hAnsi="Calibri" w:cs="Times New Roman"/>
          <w:b/>
          <w:color w:val="000000"/>
          <w:lang w:val="en-GB" w:eastAsia="fr-FR"/>
        </w:rPr>
        <w:t xml:space="preserve">. On GDP/capita alone, it would not be part of this group. </w:t>
      </w:r>
      <w:r w:rsidR="008F392B">
        <w:rPr>
          <w:rFonts w:ascii="Calibri" w:eastAsia="Times New Roman" w:hAnsi="Calibri" w:cs="Times New Roman"/>
          <w:color w:val="000000"/>
          <w:lang w:val="en-GB" w:eastAsia="fr-FR"/>
        </w:rPr>
        <w:t>C</w:t>
      </w:r>
      <w:r w:rsidR="00281D74">
        <w:rPr>
          <w:rFonts w:ascii="Calibri" w:eastAsia="Times New Roman" w:hAnsi="Calibri" w:cs="Times New Roman"/>
          <w:color w:val="000000"/>
          <w:lang w:val="en-GB" w:eastAsia="fr-FR"/>
        </w:rPr>
        <w:t>ountries</w:t>
      </w:r>
      <w:r w:rsidR="008F392B">
        <w:rPr>
          <w:rFonts w:ascii="Calibri" w:eastAsia="Times New Roman" w:hAnsi="Calibri" w:cs="Times New Roman"/>
          <w:color w:val="000000"/>
          <w:lang w:val="en-GB" w:eastAsia="fr-FR"/>
        </w:rPr>
        <w:t xml:space="preserve"> in this group</w:t>
      </w:r>
      <w:r w:rsidR="00281D74">
        <w:rPr>
          <w:rFonts w:ascii="Calibri" w:eastAsia="Times New Roman" w:hAnsi="Calibri" w:cs="Times New Roman"/>
          <w:color w:val="000000"/>
          <w:lang w:val="en-GB" w:eastAsia="fr-FR"/>
        </w:rPr>
        <w:t xml:space="preserve"> often face similar challenges of on-going urbanization and industrialization processes.</w:t>
      </w:r>
      <w:r w:rsidR="008F392B">
        <w:rPr>
          <w:rFonts w:ascii="Calibri" w:eastAsia="Times New Roman" w:hAnsi="Calibri" w:cs="Times New Roman"/>
          <w:color w:val="000000"/>
          <w:lang w:val="en-GB" w:eastAsia="fr-FR"/>
        </w:rPr>
        <w:t xml:space="preserve"> Even though this group contains a diversity of countries, the results in </w:t>
      </w:r>
      <w:r w:rsidR="008F392B">
        <w:rPr>
          <w:rFonts w:ascii="Calibri" w:eastAsia="Times New Roman" w:hAnsi="Calibri" w:cs="Times New Roman"/>
          <w:color w:val="000000"/>
          <w:lang w:val="en-GB" w:eastAsia="fr-FR"/>
        </w:rPr>
        <w:fldChar w:fldCharType="begin"/>
      </w:r>
      <w:r w:rsidR="008F392B">
        <w:rPr>
          <w:rFonts w:ascii="Calibri" w:eastAsia="Times New Roman" w:hAnsi="Calibri" w:cs="Times New Roman"/>
          <w:color w:val="000000"/>
          <w:lang w:val="en-GB" w:eastAsia="fr-FR"/>
        </w:rPr>
        <w:instrText xml:space="preserve"> REF _Ref388993164 \h </w:instrText>
      </w:r>
      <w:r w:rsidR="008F392B">
        <w:rPr>
          <w:rFonts w:ascii="Calibri" w:eastAsia="Times New Roman" w:hAnsi="Calibri" w:cs="Times New Roman"/>
          <w:color w:val="000000"/>
          <w:lang w:val="en-GB" w:eastAsia="fr-FR"/>
        </w:rPr>
      </w:r>
      <w:r w:rsidR="008F392B">
        <w:rPr>
          <w:rFonts w:ascii="Calibri" w:eastAsia="Times New Roman" w:hAnsi="Calibri" w:cs="Times New Roman"/>
          <w:color w:val="000000"/>
          <w:lang w:val="en-GB" w:eastAsia="fr-FR"/>
        </w:rPr>
        <w:fldChar w:fldCharType="separate"/>
      </w:r>
      <w:r w:rsidR="008F392B">
        <w:t xml:space="preserve">Figure </w:t>
      </w:r>
      <w:r w:rsidR="008F392B">
        <w:rPr>
          <w:noProof/>
        </w:rPr>
        <w:t>3</w:t>
      </w:r>
      <w:r w:rsidR="008F392B">
        <w:rPr>
          <w:rFonts w:ascii="Calibri" w:eastAsia="Times New Roman" w:hAnsi="Calibri" w:cs="Times New Roman"/>
          <w:color w:val="000000"/>
          <w:lang w:val="en-GB" w:eastAsia="fr-FR"/>
        </w:rPr>
        <w:fldChar w:fldCharType="end"/>
      </w:r>
      <w:r w:rsidR="008F392B">
        <w:rPr>
          <w:rFonts w:ascii="Calibri" w:eastAsia="Times New Roman" w:hAnsi="Calibri" w:cs="Times New Roman"/>
          <w:color w:val="000000"/>
          <w:lang w:val="en-GB" w:eastAsia="fr-FR"/>
        </w:rPr>
        <w:t xml:space="preserve"> and </w:t>
      </w:r>
      <w:r w:rsidR="008F392B">
        <w:rPr>
          <w:rFonts w:ascii="Calibri" w:eastAsia="Times New Roman" w:hAnsi="Calibri" w:cs="Times New Roman"/>
          <w:color w:val="000000"/>
          <w:lang w:val="en-GB" w:eastAsia="fr-FR"/>
        </w:rPr>
        <w:fldChar w:fldCharType="begin"/>
      </w:r>
      <w:r w:rsidR="008F392B">
        <w:rPr>
          <w:rFonts w:ascii="Calibri" w:eastAsia="Times New Roman" w:hAnsi="Calibri" w:cs="Times New Roman"/>
          <w:color w:val="000000"/>
          <w:lang w:val="en-GB" w:eastAsia="fr-FR"/>
        </w:rPr>
        <w:instrText xml:space="preserve"> REF _Ref388993172 \h </w:instrText>
      </w:r>
      <w:r w:rsidR="008F392B">
        <w:rPr>
          <w:rFonts w:ascii="Calibri" w:eastAsia="Times New Roman" w:hAnsi="Calibri" w:cs="Times New Roman"/>
          <w:color w:val="000000"/>
          <w:lang w:val="en-GB" w:eastAsia="fr-FR"/>
        </w:rPr>
      </w:r>
      <w:r w:rsidR="008F392B">
        <w:rPr>
          <w:rFonts w:ascii="Calibri" w:eastAsia="Times New Roman" w:hAnsi="Calibri" w:cs="Times New Roman"/>
          <w:color w:val="000000"/>
          <w:lang w:val="en-GB" w:eastAsia="fr-FR"/>
        </w:rPr>
        <w:fldChar w:fldCharType="separate"/>
      </w:r>
      <w:r w:rsidR="008F392B">
        <w:t xml:space="preserve">Figure </w:t>
      </w:r>
      <w:r w:rsidR="008F392B">
        <w:rPr>
          <w:noProof/>
        </w:rPr>
        <w:t>4</w:t>
      </w:r>
      <w:r w:rsidR="008F392B">
        <w:rPr>
          <w:rFonts w:ascii="Calibri" w:eastAsia="Times New Roman" w:hAnsi="Calibri" w:cs="Times New Roman"/>
          <w:color w:val="000000"/>
          <w:lang w:val="en-GB" w:eastAsia="fr-FR"/>
        </w:rPr>
        <w:fldChar w:fldCharType="end"/>
      </w:r>
      <w:r w:rsidR="008F392B">
        <w:rPr>
          <w:rFonts w:ascii="Calibri" w:eastAsia="Times New Roman" w:hAnsi="Calibri" w:cs="Times New Roman"/>
          <w:color w:val="000000"/>
          <w:lang w:val="en-GB" w:eastAsia="fr-FR"/>
        </w:rPr>
        <w:t xml:space="preserve"> are dominated by the largest countries such as China, India, Brazil</w:t>
      </w:r>
      <w:r w:rsidR="00F04797">
        <w:rPr>
          <w:rFonts w:ascii="Calibri" w:eastAsia="Times New Roman" w:hAnsi="Calibri" w:cs="Times New Roman"/>
          <w:color w:val="000000"/>
          <w:lang w:val="en-GB" w:eastAsia="fr-FR"/>
        </w:rPr>
        <w:t>,</w:t>
      </w:r>
      <w:r w:rsidR="008F392B">
        <w:rPr>
          <w:rFonts w:ascii="Calibri" w:eastAsia="Times New Roman" w:hAnsi="Calibri" w:cs="Times New Roman"/>
          <w:color w:val="000000"/>
          <w:lang w:val="en-GB" w:eastAsia="fr-FR"/>
        </w:rPr>
        <w:t xml:space="preserve"> South Africa</w:t>
      </w:r>
      <w:r w:rsidR="00F04797">
        <w:rPr>
          <w:rFonts w:ascii="Calibri" w:eastAsia="Times New Roman" w:hAnsi="Calibri" w:cs="Times New Roman"/>
          <w:color w:val="000000"/>
          <w:lang w:val="en-GB" w:eastAsia="fr-FR"/>
        </w:rPr>
        <w:t>, Thailand and Indonesia which make up 88% of GDP in this group.</w:t>
      </w:r>
      <w:r>
        <w:rPr>
          <w:rStyle w:val="FootnoteReference"/>
          <w:rFonts w:ascii="Calibri" w:eastAsia="Times New Roman" w:hAnsi="Calibri" w:cs="Times New Roman"/>
          <w:color w:val="000000"/>
          <w:lang w:val="en-GB" w:eastAsia="fr-FR"/>
        </w:rPr>
        <w:footnoteReference w:id="25"/>
      </w:r>
    </w:p>
    <w:p w14:paraId="6A6FBB0A" w14:textId="3578B30D" w:rsidR="00A939F7" w:rsidRDefault="00A939F7" w:rsidP="00654B55">
      <w:pPr>
        <w:pStyle w:val="ListParagraph"/>
        <w:numPr>
          <w:ilvl w:val="0"/>
          <w:numId w:val="25"/>
        </w:numPr>
        <w:rPr>
          <w:rFonts w:ascii="Calibri" w:eastAsia="Times New Roman" w:hAnsi="Calibri" w:cs="Times New Roman"/>
          <w:color w:val="000000"/>
          <w:lang w:val="en-GB" w:eastAsia="fr-FR"/>
        </w:rPr>
      </w:pPr>
      <w:r w:rsidRPr="00BA0EDC">
        <w:rPr>
          <w:rFonts w:ascii="Calibri" w:eastAsia="Times New Roman" w:hAnsi="Calibri" w:cs="Times New Roman"/>
          <w:i/>
          <w:color w:val="000000"/>
          <w:lang w:val="en-GB" w:eastAsia="fr-FR"/>
        </w:rPr>
        <w:t xml:space="preserve">The rest of </w:t>
      </w:r>
      <w:r w:rsidR="008A4E43" w:rsidRPr="00BA0EDC">
        <w:rPr>
          <w:rFonts w:ascii="Calibri" w:eastAsia="Times New Roman" w:hAnsi="Calibri" w:cs="Times New Roman"/>
          <w:i/>
          <w:color w:val="000000"/>
          <w:lang w:val="en-GB" w:eastAsia="fr-FR"/>
        </w:rPr>
        <w:t>non-</w:t>
      </w:r>
      <w:r w:rsidRPr="00BA0EDC">
        <w:rPr>
          <w:rFonts w:ascii="Calibri" w:eastAsia="Times New Roman" w:hAnsi="Calibri" w:cs="Times New Roman"/>
          <w:i/>
          <w:color w:val="000000"/>
          <w:lang w:val="en-GB" w:eastAsia="fr-FR"/>
        </w:rPr>
        <w:t>Annex 1</w:t>
      </w:r>
      <w:r>
        <w:rPr>
          <w:rFonts w:ascii="Calibri" w:eastAsia="Times New Roman" w:hAnsi="Calibri" w:cs="Times New Roman"/>
          <w:color w:val="000000"/>
          <w:lang w:val="en-GB" w:eastAsia="fr-FR"/>
        </w:rPr>
        <w:t>.</w:t>
      </w:r>
      <w:r w:rsidR="00281D74">
        <w:rPr>
          <w:rFonts w:ascii="Calibri" w:eastAsia="Times New Roman" w:hAnsi="Calibri" w:cs="Times New Roman"/>
          <w:color w:val="000000"/>
          <w:lang w:val="en-GB" w:eastAsia="fr-FR"/>
        </w:rPr>
        <w:t xml:space="preserve"> All other non-Annex 1 </w:t>
      </w:r>
      <w:r w:rsidR="00AE6FC8">
        <w:rPr>
          <w:rFonts w:ascii="Calibri" w:eastAsia="Times New Roman" w:hAnsi="Calibri" w:cs="Times New Roman"/>
          <w:color w:val="000000"/>
          <w:lang w:val="en-GB" w:eastAsia="fr-FR"/>
        </w:rPr>
        <w:t>countries which do not figure in the above four groups.</w:t>
      </w:r>
      <w:r w:rsidR="008F392B">
        <w:rPr>
          <w:rFonts w:ascii="Calibri" w:eastAsia="Times New Roman" w:hAnsi="Calibri" w:cs="Times New Roman"/>
          <w:color w:val="000000"/>
          <w:lang w:val="en-GB" w:eastAsia="fr-FR"/>
        </w:rPr>
        <w:t xml:space="preserve"> It should be noted that this group contains countries which are often placed in international classifications of emerging countries, due to their market size.</w:t>
      </w:r>
      <w:r w:rsidR="00292C2C">
        <w:rPr>
          <w:rFonts w:ascii="Calibri" w:eastAsia="Times New Roman" w:hAnsi="Calibri" w:cs="Times New Roman"/>
          <w:color w:val="000000"/>
          <w:lang w:val="en-GB" w:eastAsia="fr-FR"/>
        </w:rPr>
        <w:t xml:space="preserve"> However, on the objective criteria of GDP/capita they are placed in this group. </w:t>
      </w:r>
      <w:r w:rsidR="008F392B">
        <w:rPr>
          <w:rFonts w:ascii="Calibri" w:eastAsia="Times New Roman" w:hAnsi="Calibri" w:cs="Times New Roman"/>
          <w:color w:val="000000"/>
          <w:lang w:val="en-GB" w:eastAsia="fr-FR"/>
        </w:rPr>
        <w:t xml:space="preserve">  </w:t>
      </w:r>
      <w:r w:rsidR="00AE6FC8">
        <w:rPr>
          <w:rFonts w:ascii="Calibri" w:eastAsia="Times New Roman" w:hAnsi="Calibri" w:cs="Times New Roman"/>
          <w:color w:val="000000"/>
          <w:lang w:val="en-GB" w:eastAsia="fr-FR"/>
        </w:rPr>
        <w:t xml:space="preserve"> </w:t>
      </w:r>
      <w:r>
        <w:rPr>
          <w:rFonts w:ascii="Calibri" w:eastAsia="Times New Roman" w:hAnsi="Calibri" w:cs="Times New Roman"/>
          <w:color w:val="000000"/>
          <w:lang w:val="en-GB" w:eastAsia="fr-FR"/>
        </w:rPr>
        <w:t xml:space="preserve"> </w:t>
      </w:r>
    </w:p>
    <w:p w14:paraId="01F0259A" w14:textId="22F8F9BE" w:rsidR="00EC49A3" w:rsidRDefault="000D3B0C" w:rsidP="00F07DBE">
      <w:pP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 xml:space="preserve">It should be noted that </w:t>
      </w:r>
      <w:r>
        <w:rPr>
          <w:rFonts w:ascii="Calibri" w:eastAsia="Times New Roman" w:hAnsi="Calibri" w:cs="Times New Roman"/>
          <w:color w:val="000000"/>
          <w:lang w:val="en-GB" w:eastAsia="fr-FR"/>
        </w:rPr>
        <w:fldChar w:fldCharType="begin"/>
      </w:r>
      <w:r>
        <w:rPr>
          <w:rFonts w:ascii="Calibri" w:eastAsia="Times New Roman" w:hAnsi="Calibri" w:cs="Times New Roman"/>
          <w:color w:val="000000"/>
          <w:lang w:val="en-GB" w:eastAsia="fr-FR"/>
        </w:rPr>
        <w:instrText xml:space="preserve"> REF _Ref388993164 \h </w:instrText>
      </w:r>
      <w:r>
        <w:rPr>
          <w:rFonts w:ascii="Calibri" w:eastAsia="Times New Roman" w:hAnsi="Calibri" w:cs="Times New Roman"/>
          <w:color w:val="000000"/>
          <w:lang w:val="en-GB" w:eastAsia="fr-FR"/>
        </w:rPr>
      </w:r>
      <w:r>
        <w:rPr>
          <w:rFonts w:ascii="Calibri" w:eastAsia="Times New Roman" w:hAnsi="Calibri" w:cs="Times New Roman"/>
          <w:color w:val="000000"/>
          <w:lang w:val="en-GB" w:eastAsia="fr-FR"/>
        </w:rPr>
        <w:fldChar w:fldCharType="separate"/>
      </w:r>
      <w:r>
        <w:t xml:space="preserve">Figure </w:t>
      </w:r>
      <w:r>
        <w:rPr>
          <w:noProof/>
        </w:rPr>
        <w:t>3</w:t>
      </w:r>
      <w:r>
        <w:rPr>
          <w:rFonts w:ascii="Calibri" w:eastAsia="Times New Roman" w:hAnsi="Calibri" w:cs="Times New Roman"/>
          <w:color w:val="000000"/>
          <w:lang w:val="en-GB" w:eastAsia="fr-FR"/>
        </w:rPr>
        <w:fldChar w:fldCharType="end"/>
      </w:r>
      <w:r>
        <w:rPr>
          <w:rFonts w:ascii="Calibri" w:eastAsia="Times New Roman" w:hAnsi="Calibri" w:cs="Times New Roman"/>
          <w:color w:val="000000"/>
          <w:lang w:val="en-GB" w:eastAsia="fr-FR"/>
        </w:rPr>
        <w:t xml:space="preserve"> and </w:t>
      </w:r>
      <w:r>
        <w:rPr>
          <w:rFonts w:ascii="Calibri" w:eastAsia="Times New Roman" w:hAnsi="Calibri" w:cs="Times New Roman"/>
          <w:color w:val="000000"/>
          <w:lang w:val="en-GB" w:eastAsia="fr-FR"/>
        </w:rPr>
        <w:fldChar w:fldCharType="begin"/>
      </w:r>
      <w:r>
        <w:rPr>
          <w:rFonts w:ascii="Calibri" w:eastAsia="Times New Roman" w:hAnsi="Calibri" w:cs="Times New Roman"/>
          <w:color w:val="000000"/>
          <w:lang w:val="en-GB" w:eastAsia="fr-FR"/>
        </w:rPr>
        <w:instrText xml:space="preserve"> REF _Ref388993172 \h </w:instrText>
      </w:r>
      <w:r>
        <w:rPr>
          <w:rFonts w:ascii="Calibri" w:eastAsia="Times New Roman" w:hAnsi="Calibri" w:cs="Times New Roman"/>
          <w:color w:val="000000"/>
          <w:lang w:val="en-GB" w:eastAsia="fr-FR"/>
        </w:rPr>
      </w:r>
      <w:r>
        <w:rPr>
          <w:rFonts w:ascii="Calibri" w:eastAsia="Times New Roman" w:hAnsi="Calibri" w:cs="Times New Roman"/>
          <w:color w:val="000000"/>
          <w:lang w:val="en-GB" w:eastAsia="fr-FR"/>
        </w:rPr>
        <w:fldChar w:fldCharType="separate"/>
      </w:r>
      <w:r>
        <w:t xml:space="preserve">Figure </w:t>
      </w:r>
      <w:r>
        <w:rPr>
          <w:noProof/>
        </w:rPr>
        <w:t>4</w:t>
      </w:r>
      <w:r>
        <w:rPr>
          <w:rFonts w:ascii="Calibri" w:eastAsia="Times New Roman" w:hAnsi="Calibri" w:cs="Times New Roman"/>
          <w:color w:val="000000"/>
          <w:lang w:val="en-GB" w:eastAsia="fr-FR"/>
        </w:rPr>
        <w:fldChar w:fldCharType="end"/>
      </w:r>
      <w:r w:rsidR="00EC49A3">
        <w:rPr>
          <w:rFonts w:ascii="Calibri" w:eastAsia="Times New Roman" w:hAnsi="Calibri" w:cs="Times New Roman"/>
          <w:color w:val="000000"/>
          <w:lang w:val="en-GB" w:eastAsia="fr-FR"/>
        </w:rPr>
        <w:t xml:space="preserve"> take the</w:t>
      </w:r>
      <w:r w:rsidR="00AD3850">
        <w:rPr>
          <w:rFonts w:ascii="Calibri" w:eastAsia="Times New Roman" w:hAnsi="Calibri" w:cs="Times New Roman"/>
          <w:color w:val="000000"/>
          <w:lang w:val="en-GB" w:eastAsia="fr-FR"/>
        </w:rPr>
        <w:t xml:space="preserve"> weighted</w:t>
      </w:r>
      <w:r w:rsidR="00EC49A3">
        <w:rPr>
          <w:rFonts w:ascii="Calibri" w:eastAsia="Times New Roman" w:hAnsi="Calibri" w:cs="Times New Roman"/>
          <w:color w:val="000000"/>
          <w:lang w:val="en-GB" w:eastAsia="fr-FR"/>
        </w:rPr>
        <w:t xml:space="preserve"> average of GDP or CO</w:t>
      </w:r>
      <w:r w:rsidR="00EC49A3" w:rsidRPr="00BA0EDC">
        <w:rPr>
          <w:rFonts w:ascii="Calibri" w:eastAsia="Times New Roman" w:hAnsi="Calibri" w:cs="Times New Roman"/>
          <w:color w:val="000000"/>
          <w:vertAlign w:val="subscript"/>
          <w:lang w:val="en-GB" w:eastAsia="fr-FR"/>
        </w:rPr>
        <w:t>2</w:t>
      </w:r>
      <w:r w:rsidR="00EC49A3">
        <w:rPr>
          <w:rFonts w:ascii="Calibri" w:eastAsia="Times New Roman" w:hAnsi="Calibri" w:cs="Times New Roman"/>
          <w:color w:val="000000"/>
          <w:lang w:val="en-GB" w:eastAsia="fr-FR"/>
        </w:rPr>
        <w:t xml:space="preserve">/capita among the countries within the group. </w:t>
      </w:r>
      <w:r w:rsidR="00AD3850">
        <w:rPr>
          <w:rFonts w:ascii="Calibri" w:eastAsia="Times New Roman" w:hAnsi="Calibri" w:cs="Times New Roman"/>
          <w:color w:val="000000"/>
          <w:lang w:val="en-GB" w:eastAsia="fr-FR"/>
        </w:rPr>
        <w:t xml:space="preserve">That is, </w:t>
      </w:r>
      <w:r>
        <w:rPr>
          <w:rFonts w:ascii="Calibri" w:eastAsia="Times New Roman" w:hAnsi="Calibri" w:cs="Times New Roman"/>
          <w:color w:val="000000"/>
          <w:lang w:val="en-GB" w:eastAsia="fr-FR"/>
        </w:rPr>
        <w:t>they</w:t>
      </w:r>
      <w:r w:rsidR="00EC49A3">
        <w:rPr>
          <w:rFonts w:ascii="Calibri" w:eastAsia="Times New Roman" w:hAnsi="Calibri" w:cs="Times New Roman"/>
          <w:color w:val="000000"/>
          <w:lang w:val="en-GB" w:eastAsia="fr-FR"/>
        </w:rPr>
        <w:t xml:space="preserve"> sum GDP and CO</w:t>
      </w:r>
      <w:r w:rsidR="00EC49A3" w:rsidRPr="00BA0EDC">
        <w:rPr>
          <w:rFonts w:ascii="Calibri" w:eastAsia="Times New Roman" w:hAnsi="Calibri" w:cs="Times New Roman"/>
          <w:color w:val="000000"/>
          <w:vertAlign w:val="subscript"/>
          <w:lang w:val="en-GB" w:eastAsia="fr-FR"/>
        </w:rPr>
        <w:t>2</w:t>
      </w:r>
      <w:r w:rsidR="00EC49A3">
        <w:rPr>
          <w:rFonts w:ascii="Calibri" w:eastAsia="Times New Roman" w:hAnsi="Calibri" w:cs="Times New Roman"/>
          <w:color w:val="000000"/>
          <w:lang w:val="en-GB" w:eastAsia="fr-FR"/>
        </w:rPr>
        <w:t xml:space="preserve"> for each group and divide by the summed population of the group. This means that larger countries are taken into account in defining the average CO</w:t>
      </w:r>
      <w:r w:rsidR="00EC49A3" w:rsidRPr="00BA0EDC">
        <w:rPr>
          <w:rFonts w:ascii="Calibri" w:eastAsia="Times New Roman" w:hAnsi="Calibri" w:cs="Times New Roman"/>
          <w:color w:val="000000"/>
          <w:vertAlign w:val="subscript"/>
          <w:lang w:val="en-GB" w:eastAsia="fr-FR"/>
        </w:rPr>
        <w:t>2</w:t>
      </w:r>
      <w:r w:rsidR="00EC49A3">
        <w:rPr>
          <w:rFonts w:ascii="Calibri" w:eastAsia="Times New Roman" w:hAnsi="Calibri" w:cs="Times New Roman"/>
          <w:color w:val="000000"/>
          <w:lang w:val="en-GB" w:eastAsia="fr-FR"/>
        </w:rPr>
        <w:t>/capita or GDP/capita of the group</w:t>
      </w:r>
      <w:r>
        <w:rPr>
          <w:rFonts w:ascii="Calibri" w:eastAsia="Times New Roman" w:hAnsi="Calibri" w:cs="Times New Roman"/>
          <w:color w:val="000000"/>
          <w:lang w:val="en-GB" w:eastAsia="fr-FR"/>
        </w:rPr>
        <w:t>, which would not be the case for the</w:t>
      </w:r>
      <w:r w:rsidR="004F58A8">
        <w:rPr>
          <w:rFonts w:ascii="Calibri" w:eastAsia="Times New Roman" w:hAnsi="Calibri" w:cs="Times New Roman"/>
          <w:color w:val="000000"/>
          <w:lang w:val="en-GB" w:eastAsia="fr-FR"/>
        </w:rPr>
        <w:t xml:space="preserve"> non-weighted</w:t>
      </w:r>
      <w:r>
        <w:rPr>
          <w:rFonts w:ascii="Calibri" w:eastAsia="Times New Roman" w:hAnsi="Calibri" w:cs="Times New Roman"/>
          <w:color w:val="000000"/>
          <w:lang w:val="en-GB" w:eastAsia="fr-FR"/>
        </w:rPr>
        <w:t xml:space="preserve"> average of average national GDP/capita</w:t>
      </w:r>
      <w:r w:rsidR="00FF6720">
        <w:rPr>
          <w:rFonts w:ascii="Calibri" w:eastAsia="Times New Roman" w:hAnsi="Calibri" w:cs="Times New Roman"/>
          <w:color w:val="000000"/>
          <w:lang w:val="en-GB" w:eastAsia="fr-FR"/>
        </w:rPr>
        <w:t xml:space="preserve"> or CO</w:t>
      </w:r>
      <w:r w:rsidR="00FF6720" w:rsidRPr="00617D5E">
        <w:rPr>
          <w:rFonts w:ascii="Calibri" w:eastAsia="Times New Roman" w:hAnsi="Calibri" w:cs="Times New Roman"/>
          <w:color w:val="000000"/>
          <w:vertAlign w:val="subscript"/>
          <w:lang w:val="en-GB" w:eastAsia="fr-FR"/>
        </w:rPr>
        <w:t>2</w:t>
      </w:r>
      <w:r w:rsidR="00FF6720">
        <w:rPr>
          <w:rFonts w:ascii="Calibri" w:eastAsia="Times New Roman" w:hAnsi="Calibri" w:cs="Times New Roman"/>
          <w:color w:val="000000"/>
          <w:lang w:val="en-GB" w:eastAsia="fr-FR"/>
        </w:rPr>
        <w:t>/capita</w:t>
      </w:r>
      <w:r w:rsidR="00EC49A3">
        <w:rPr>
          <w:rFonts w:ascii="Calibri" w:eastAsia="Times New Roman" w:hAnsi="Calibri" w:cs="Times New Roman"/>
          <w:color w:val="000000"/>
          <w:lang w:val="en-GB" w:eastAsia="fr-FR"/>
        </w:rPr>
        <w:t xml:space="preserve">.   </w:t>
      </w:r>
    </w:p>
    <w:p w14:paraId="61C02E6F" w14:textId="031E6F43" w:rsidR="00F07DBE" w:rsidRDefault="00EC49A3" w:rsidP="00F07DBE">
      <w:pP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A number of insights can be drawn from the two figures. Firstly, it is clear that there remain significant differences between the groups as defined</w:t>
      </w:r>
      <w:r w:rsidR="00FF6720">
        <w:rPr>
          <w:rFonts w:ascii="Calibri" w:eastAsia="Times New Roman" w:hAnsi="Calibri" w:cs="Times New Roman"/>
          <w:color w:val="000000"/>
          <w:lang w:val="en-GB" w:eastAsia="fr-FR"/>
        </w:rPr>
        <w:t>,</w:t>
      </w:r>
      <w:r w:rsidR="008E1ECE">
        <w:rPr>
          <w:rFonts w:ascii="Calibri" w:eastAsia="Times New Roman" w:hAnsi="Calibri" w:cs="Times New Roman" w:hint="eastAsia"/>
          <w:color w:val="000000"/>
          <w:lang w:val="en-GB" w:eastAsia="zh-CN"/>
        </w:rPr>
        <w:t xml:space="preserve"> with an </w:t>
      </w:r>
      <w:r w:rsidR="008E1ECE">
        <w:rPr>
          <w:rFonts w:ascii="Calibri" w:eastAsia="Times New Roman" w:hAnsi="Calibri" w:cs="Times New Roman"/>
          <w:color w:val="000000"/>
          <w:lang w:val="en-GB" w:eastAsia="zh-CN"/>
        </w:rPr>
        <w:t>increasing</w:t>
      </w:r>
      <w:r w:rsidR="008E1ECE">
        <w:rPr>
          <w:rFonts w:ascii="Calibri" w:eastAsia="Times New Roman" w:hAnsi="Calibri" w:cs="Times New Roman" w:hint="eastAsia"/>
          <w:color w:val="000000"/>
          <w:lang w:val="en-GB" w:eastAsia="zh-CN"/>
        </w:rPr>
        <w:t xml:space="preserve"> </w:t>
      </w:r>
      <w:r w:rsidR="00D2388A">
        <w:rPr>
          <w:rFonts w:ascii="Calibri" w:eastAsia="Times New Roman" w:hAnsi="Calibri" w:cs="Times New Roman" w:hint="eastAsia"/>
          <w:color w:val="000000"/>
          <w:lang w:val="en-GB" w:eastAsia="zh-CN"/>
        </w:rPr>
        <w:t xml:space="preserve">income </w:t>
      </w:r>
      <w:r w:rsidR="008E1ECE">
        <w:rPr>
          <w:rFonts w:ascii="Calibri" w:eastAsia="Times New Roman" w:hAnsi="Calibri" w:cs="Times New Roman" w:hint="eastAsia"/>
          <w:color w:val="000000"/>
          <w:lang w:val="en-GB" w:eastAsia="zh-CN"/>
        </w:rPr>
        <w:t xml:space="preserve">gap in </w:t>
      </w:r>
      <w:r w:rsidR="008E1ECE">
        <w:rPr>
          <w:rFonts w:ascii="Calibri" w:eastAsia="Times New Roman" w:hAnsi="Calibri" w:cs="Times New Roman"/>
          <w:color w:val="000000"/>
          <w:lang w:val="en-GB" w:eastAsia="zh-CN"/>
        </w:rPr>
        <w:t>absolute</w:t>
      </w:r>
      <w:r w:rsidR="008E1ECE">
        <w:rPr>
          <w:rFonts w:ascii="Calibri" w:eastAsia="Times New Roman" w:hAnsi="Calibri" w:cs="Times New Roman" w:hint="eastAsia"/>
          <w:color w:val="000000"/>
          <w:lang w:val="en-GB" w:eastAsia="zh-CN"/>
        </w:rPr>
        <w:t xml:space="preserve"> terms when compared with the 1990 level</w:t>
      </w:r>
      <w:r>
        <w:rPr>
          <w:rFonts w:ascii="Calibri" w:eastAsia="Times New Roman" w:hAnsi="Calibri" w:cs="Times New Roman"/>
          <w:color w:val="000000"/>
          <w:lang w:val="en-GB" w:eastAsia="fr-FR"/>
        </w:rPr>
        <w:t>. Secondly, there has been a process of</w:t>
      </w:r>
      <w:r w:rsidR="004F58A8">
        <w:rPr>
          <w:rFonts w:ascii="Calibri" w:eastAsia="Times New Roman" w:hAnsi="Calibri" w:cs="Times New Roman"/>
          <w:color w:val="000000"/>
          <w:lang w:val="en-GB" w:eastAsia="fr-FR"/>
        </w:rPr>
        <w:t xml:space="preserve"> relative</w:t>
      </w:r>
      <w:r>
        <w:rPr>
          <w:rFonts w:ascii="Calibri" w:eastAsia="Times New Roman" w:hAnsi="Calibri" w:cs="Times New Roman"/>
          <w:color w:val="000000"/>
          <w:lang w:val="en-GB" w:eastAsia="fr-FR"/>
        </w:rPr>
        <w:t xml:space="preserve"> convergence</w:t>
      </w:r>
      <w:r w:rsidR="00746353">
        <w:rPr>
          <w:rFonts w:ascii="Calibri" w:eastAsia="Times New Roman" w:hAnsi="Calibri" w:cs="Times New Roman"/>
          <w:color w:val="000000"/>
          <w:lang w:val="en-GB" w:eastAsia="fr-FR"/>
        </w:rPr>
        <w:t>,</w:t>
      </w:r>
      <w:r>
        <w:rPr>
          <w:rFonts w:ascii="Calibri" w:eastAsia="Times New Roman" w:hAnsi="Calibri" w:cs="Times New Roman"/>
          <w:color w:val="000000"/>
          <w:lang w:val="en-GB" w:eastAsia="fr-FR"/>
        </w:rPr>
        <w:t xml:space="preserve"> albeit quite incomplete. Between 1990 and 2012, the gap in GDP/capita </w:t>
      </w:r>
      <w:r w:rsidR="00197330">
        <w:rPr>
          <w:rFonts w:ascii="Calibri" w:eastAsia="Times New Roman" w:hAnsi="Calibri" w:cs="Times New Roman"/>
          <w:color w:val="000000"/>
          <w:lang w:val="en-GB" w:eastAsia="fr-FR"/>
        </w:rPr>
        <w:t>reduced</w:t>
      </w:r>
      <w:r>
        <w:rPr>
          <w:rFonts w:ascii="Calibri" w:eastAsia="Times New Roman" w:hAnsi="Calibri" w:cs="Times New Roman"/>
          <w:color w:val="000000"/>
          <w:lang w:val="en-GB" w:eastAsia="fr-FR"/>
        </w:rPr>
        <w:t xml:space="preserve"> by </w:t>
      </w:r>
      <w:r w:rsidR="004F58A8">
        <w:rPr>
          <w:rFonts w:ascii="Calibri" w:eastAsia="Times New Roman" w:hAnsi="Calibri" w:cs="Times New Roman"/>
          <w:color w:val="000000"/>
          <w:lang w:val="en-GB" w:eastAsia="fr-FR"/>
        </w:rPr>
        <w:t xml:space="preserve">13 </w:t>
      </w:r>
      <w:r>
        <w:rPr>
          <w:rFonts w:ascii="Calibri" w:eastAsia="Times New Roman" w:hAnsi="Calibri" w:cs="Times New Roman"/>
          <w:color w:val="000000"/>
          <w:lang w:val="en-GB" w:eastAsia="fr-FR"/>
        </w:rPr>
        <w:t>percentage points between Annex 1 and emerging</w:t>
      </w:r>
      <w:r w:rsidR="00197330">
        <w:rPr>
          <w:rFonts w:ascii="Calibri" w:eastAsia="Times New Roman" w:hAnsi="Calibri" w:cs="Times New Roman"/>
          <w:color w:val="000000"/>
          <w:lang w:val="en-GB" w:eastAsia="fr-FR"/>
        </w:rPr>
        <w:t xml:space="preserve"> non-Annex 1</w:t>
      </w:r>
      <w:r>
        <w:rPr>
          <w:rFonts w:ascii="Calibri" w:eastAsia="Times New Roman" w:hAnsi="Calibri" w:cs="Times New Roman"/>
          <w:color w:val="000000"/>
          <w:lang w:val="en-GB" w:eastAsia="fr-FR"/>
        </w:rPr>
        <w:t xml:space="preserve"> </w:t>
      </w:r>
      <w:proofErr w:type="gramStart"/>
      <w:r>
        <w:rPr>
          <w:rFonts w:ascii="Calibri" w:eastAsia="Times New Roman" w:hAnsi="Calibri" w:cs="Times New Roman"/>
          <w:color w:val="000000"/>
          <w:lang w:val="en-GB" w:eastAsia="fr-FR"/>
        </w:rPr>
        <w:t>countries,</w:t>
      </w:r>
      <w:proofErr w:type="gramEnd"/>
      <w:r>
        <w:rPr>
          <w:rFonts w:ascii="Calibri" w:eastAsia="Times New Roman" w:hAnsi="Calibri" w:cs="Times New Roman"/>
          <w:color w:val="000000"/>
          <w:lang w:val="en-GB" w:eastAsia="fr-FR"/>
        </w:rPr>
        <w:t xml:space="preserve"> for example</w:t>
      </w:r>
      <w:r w:rsidR="004F58A8">
        <w:rPr>
          <w:rFonts w:ascii="Calibri" w:eastAsia="Times New Roman" w:hAnsi="Calibri" w:cs="Times New Roman"/>
          <w:color w:val="000000"/>
          <w:lang w:val="en-GB" w:eastAsia="fr-FR"/>
        </w:rPr>
        <w:t>, although i</w:t>
      </w:r>
      <w:r w:rsidR="00FF6720">
        <w:rPr>
          <w:rFonts w:ascii="Calibri" w:eastAsia="Times New Roman" w:hAnsi="Calibri" w:cs="Times New Roman"/>
          <w:color w:val="000000"/>
          <w:lang w:val="en-GB" w:eastAsia="fr-FR"/>
        </w:rPr>
        <w:t>n</w:t>
      </w:r>
      <w:r w:rsidR="004F58A8">
        <w:rPr>
          <w:rFonts w:ascii="Calibri" w:eastAsia="Times New Roman" w:hAnsi="Calibri" w:cs="Times New Roman"/>
          <w:color w:val="000000"/>
          <w:lang w:val="en-GB" w:eastAsia="fr-FR"/>
        </w:rPr>
        <w:t xml:space="preserve"> 2012 it was still 75% below the Annex 1 average</w:t>
      </w:r>
      <w:r>
        <w:rPr>
          <w:rFonts w:ascii="Calibri" w:eastAsia="Times New Roman" w:hAnsi="Calibri" w:cs="Times New Roman"/>
          <w:color w:val="000000"/>
          <w:lang w:val="en-GB" w:eastAsia="fr-FR"/>
        </w:rPr>
        <w:t>.</w:t>
      </w:r>
      <w:r w:rsidR="00523C53">
        <w:rPr>
          <w:rFonts w:ascii="Calibri" w:eastAsia="Times New Roman" w:hAnsi="Calibri" w:cs="Times New Roman"/>
          <w:color w:val="000000"/>
          <w:lang w:val="en-GB" w:eastAsia="fr-FR"/>
        </w:rPr>
        <w:t xml:space="preserve"> The</w:t>
      </w:r>
      <w:r w:rsidR="00FF6720">
        <w:rPr>
          <w:rFonts w:ascii="Calibri" w:eastAsia="Times New Roman" w:hAnsi="Calibri" w:cs="Times New Roman"/>
          <w:color w:val="000000"/>
          <w:lang w:val="en-GB" w:eastAsia="fr-FR"/>
        </w:rPr>
        <w:t xml:space="preserve"> gap in</w:t>
      </w:r>
      <w:r w:rsidR="00523C53">
        <w:rPr>
          <w:rFonts w:ascii="Calibri" w:eastAsia="Times New Roman" w:hAnsi="Calibri" w:cs="Times New Roman"/>
          <w:color w:val="000000"/>
          <w:lang w:val="en-GB" w:eastAsia="fr-FR"/>
        </w:rPr>
        <w:t xml:space="preserve"> GDP/capita </w:t>
      </w:r>
      <w:r w:rsidR="00197330">
        <w:rPr>
          <w:rFonts w:ascii="Calibri" w:eastAsia="Times New Roman" w:hAnsi="Calibri" w:cs="Times New Roman"/>
          <w:color w:val="000000"/>
          <w:lang w:val="en-GB" w:eastAsia="fr-FR"/>
        </w:rPr>
        <w:t>red</w:t>
      </w:r>
      <w:r w:rsidR="00C32BCC">
        <w:rPr>
          <w:rFonts w:ascii="Calibri" w:eastAsia="Times New Roman" w:hAnsi="Calibri" w:cs="Times New Roman"/>
          <w:color w:val="000000"/>
          <w:lang w:val="en-GB" w:eastAsia="fr-FR"/>
        </w:rPr>
        <w:t xml:space="preserve">uced </w:t>
      </w:r>
      <w:r w:rsidR="00C32BCC" w:rsidRPr="00F0133B">
        <w:rPr>
          <w:rFonts w:ascii="Calibri" w:eastAsia="Times New Roman" w:hAnsi="Calibri" w:cs="Times New Roman"/>
          <w:color w:val="000000"/>
          <w:lang w:val="en-GB" w:eastAsia="fr-FR"/>
        </w:rPr>
        <w:t xml:space="preserve">by </w:t>
      </w:r>
      <w:r w:rsidR="00C32BCC" w:rsidRPr="00043C41">
        <w:rPr>
          <w:rFonts w:ascii="Calibri" w:eastAsia="Times New Roman" w:hAnsi="Calibri" w:cs="Times New Roman"/>
          <w:color w:val="000000"/>
          <w:lang w:val="en-GB" w:eastAsia="fr-FR"/>
        </w:rPr>
        <w:t>1</w:t>
      </w:r>
      <w:r w:rsidR="004F58A8" w:rsidRPr="00043C41">
        <w:rPr>
          <w:rFonts w:ascii="Calibri" w:eastAsia="Times New Roman" w:hAnsi="Calibri" w:cs="Times New Roman"/>
          <w:color w:val="000000"/>
          <w:lang w:val="en-GB" w:eastAsia="fr-FR"/>
        </w:rPr>
        <w:t>6</w:t>
      </w:r>
      <w:r w:rsidR="00C32BCC">
        <w:rPr>
          <w:rFonts w:ascii="Calibri" w:eastAsia="Times New Roman" w:hAnsi="Calibri" w:cs="Times New Roman"/>
          <w:color w:val="000000"/>
          <w:lang w:val="en-GB" w:eastAsia="fr-FR"/>
        </w:rPr>
        <w:t xml:space="preserve"> percentage points between</w:t>
      </w:r>
      <w:r w:rsidR="00197330">
        <w:rPr>
          <w:rFonts w:ascii="Calibri" w:eastAsia="Times New Roman" w:hAnsi="Calibri" w:cs="Times New Roman"/>
          <w:color w:val="000000"/>
          <w:lang w:val="en-GB" w:eastAsia="fr-FR"/>
        </w:rPr>
        <w:t xml:space="preserve"> the</w:t>
      </w:r>
      <w:r w:rsidR="00C32BCC">
        <w:rPr>
          <w:rFonts w:ascii="Calibri" w:eastAsia="Times New Roman" w:hAnsi="Calibri" w:cs="Times New Roman"/>
          <w:color w:val="000000"/>
          <w:lang w:val="en-GB" w:eastAsia="fr-FR"/>
        </w:rPr>
        <w:t xml:space="preserve"> Annex 1 group and</w:t>
      </w:r>
      <w:r w:rsidR="00197330">
        <w:rPr>
          <w:rFonts w:ascii="Calibri" w:eastAsia="Times New Roman" w:hAnsi="Calibri" w:cs="Times New Roman"/>
          <w:color w:val="000000"/>
          <w:lang w:val="en-GB" w:eastAsia="fr-FR"/>
        </w:rPr>
        <w:t xml:space="preserve"> higher GDP non-Annex 1 countries</w:t>
      </w:r>
      <w:r w:rsidR="00523C53">
        <w:rPr>
          <w:rFonts w:ascii="Calibri" w:eastAsia="Times New Roman" w:hAnsi="Calibri" w:cs="Times New Roman"/>
          <w:color w:val="000000"/>
          <w:lang w:val="en-GB" w:eastAsia="fr-FR"/>
        </w:rPr>
        <w:t xml:space="preserve"> between 1990 and 2012</w:t>
      </w:r>
      <w:r w:rsidR="00197330">
        <w:rPr>
          <w:rFonts w:ascii="Calibri" w:eastAsia="Times New Roman" w:hAnsi="Calibri" w:cs="Times New Roman"/>
          <w:color w:val="000000"/>
          <w:lang w:val="en-GB" w:eastAsia="fr-FR"/>
        </w:rPr>
        <w:t>.</w:t>
      </w:r>
      <w:r w:rsidR="00C32BCC">
        <w:rPr>
          <w:rFonts w:ascii="Calibri" w:eastAsia="Times New Roman" w:hAnsi="Calibri" w:cs="Times New Roman"/>
          <w:color w:val="000000"/>
          <w:lang w:val="en-GB" w:eastAsia="fr-FR"/>
        </w:rPr>
        <w:t xml:space="preserve"> </w:t>
      </w:r>
      <w:r w:rsidR="00523C53">
        <w:rPr>
          <w:rFonts w:ascii="Calibri" w:eastAsia="Times New Roman" w:hAnsi="Calibri" w:cs="Times New Roman"/>
          <w:color w:val="000000"/>
          <w:lang w:val="en-GB" w:eastAsia="fr-FR"/>
        </w:rPr>
        <w:t>It reduced only slightly (0.4 percentage points) between the rest of non-Annex 1 and Annex 1</w:t>
      </w:r>
      <w:r w:rsidR="00C32BCC">
        <w:rPr>
          <w:rFonts w:ascii="Calibri" w:eastAsia="Times New Roman" w:hAnsi="Calibri" w:cs="Times New Roman"/>
          <w:color w:val="000000"/>
          <w:lang w:val="en-GB" w:eastAsia="fr-FR"/>
        </w:rPr>
        <w:t>.</w:t>
      </w:r>
      <w:r w:rsidR="00197330">
        <w:rPr>
          <w:rFonts w:ascii="Calibri" w:eastAsia="Times New Roman" w:hAnsi="Calibri" w:cs="Times New Roman"/>
          <w:color w:val="000000"/>
          <w:lang w:val="en-GB" w:eastAsia="fr-FR"/>
        </w:rPr>
        <w:t xml:space="preserve"> </w:t>
      </w:r>
      <w:r w:rsidR="0036190B">
        <w:rPr>
          <w:rFonts w:ascii="Calibri" w:eastAsia="Times New Roman" w:hAnsi="Calibri" w:cs="Times New Roman"/>
          <w:color w:val="000000"/>
          <w:lang w:val="en-GB" w:eastAsia="fr-FR"/>
        </w:rPr>
        <w:lastRenderedPageBreak/>
        <w:t>Thirdly, it is interesting to note that emerging</w:t>
      </w:r>
      <w:r w:rsidR="00C32BCC">
        <w:rPr>
          <w:rFonts w:ascii="Calibri" w:eastAsia="Times New Roman" w:hAnsi="Calibri" w:cs="Times New Roman"/>
          <w:color w:val="000000"/>
          <w:lang w:val="en-GB" w:eastAsia="fr-FR"/>
        </w:rPr>
        <w:t xml:space="preserve"> non-</w:t>
      </w:r>
      <w:r w:rsidR="0036190B">
        <w:rPr>
          <w:rFonts w:ascii="Calibri" w:eastAsia="Times New Roman" w:hAnsi="Calibri" w:cs="Times New Roman"/>
          <w:color w:val="000000"/>
          <w:lang w:val="en-GB" w:eastAsia="fr-FR"/>
        </w:rPr>
        <w:t xml:space="preserve">Annex 1 and the rest of Annex 1 group have started to diverge since 1990. </w:t>
      </w:r>
    </w:p>
    <w:tbl>
      <w:tblPr>
        <w:tblStyle w:val="TableGrid"/>
        <w:tblW w:w="9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833"/>
      </w:tblGrid>
      <w:tr w:rsidR="00F07DBE" w14:paraId="4263CC8C" w14:textId="77777777" w:rsidTr="00523C53">
        <w:trPr>
          <w:trHeight w:val="330"/>
        </w:trPr>
        <w:tc>
          <w:tcPr>
            <w:tcW w:w="4700" w:type="dxa"/>
          </w:tcPr>
          <w:p w14:paraId="24C2463F" w14:textId="394AFFF9" w:rsidR="00F07DBE" w:rsidRPr="00A46C9F" w:rsidRDefault="00A46C9F" w:rsidP="00A46C9F">
            <w:pPr>
              <w:pStyle w:val="Caption"/>
              <w:rPr>
                <w:rFonts w:ascii="Calibri" w:eastAsia="Times New Roman" w:hAnsi="Calibri" w:cs="Times New Roman"/>
                <w:color w:val="000000"/>
                <w:lang w:val="en-GB" w:eastAsia="zh-CN"/>
              </w:rPr>
            </w:pPr>
            <w:bookmarkStart w:id="12" w:name="_Ref388993164"/>
            <w:bookmarkStart w:id="13" w:name="_Ref389064865"/>
            <w:bookmarkStart w:id="14" w:name="_Toc389212999"/>
            <w:r>
              <w:t xml:space="preserve">Figure </w:t>
            </w:r>
            <w:r>
              <w:fldChar w:fldCharType="begin"/>
            </w:r>
            <w:r>
              <w:instrText xml:space="preserve"> SEQ Figure \* ARABIC </w:instrText>
            </w:r>
            <w:r>
              <w:fldChar w:fldCharType="separate"/>
            </w:r>
            <w:r w:rsidR="007C2EAD">
              <w:rPr>
                <w:noProof/>
              </w:rPr>
              <w:t>3</w:t>
            </w:r>
            <w:r>
              <w:fldChar w:fldCharType="end"/>
            </w:r>
            <w:bookmarkEnd w:id="12"/>
            <w:r w:rsidR="00F07DBE" w:rsidRPr="00A46C9F">
              <w:rPr>
                <w:noProof/>
              </w:rPr>
              <w:t>: average income per capita, PPP, 1990-2012</w:t>
            </w:r>
            <w:bookmarkEnd w:id="13"/>
            <w:r w:rsidR="00BE7005">
              <w:rPr>
                <w:rStyle w:val="FootnoteReference"/>
                <w:noProof/>
              </w:rPr>
              <w:footnoteReference w:id="26"/>
            </w:r>
            <w:bookmarkEnd w:id="14"/>
            <w:r w:rsidR="00F07DBE" w:rsidRPr="00A13E0E">
              <w:rPr>
                <w:rFonts w:ascii="Calibri" w:eastAsia="Times New Roman" w:hAnsi="Calibri" w:cs="Times New Roman"/>
                <w:b w:val="0"/>
                <w:color w:val="000000"/>
                <w:lang w:val="en-GB" w:eastAsia="fr-FR"/>
              </w:rPr>
              <w:t xml:space="preserve"> </w:t>
            </w:r>
          </w:p>
        </w:tc>
        <w:tc>
          <w:tcPr>
            <w:tcW w:w="4833" w:type="dxa"/>
          </w:tcPr>
          <w:p w14:paraId="4C0DA445" w14:textId="2ED8BEDE" w:rsidR="00F07DBE" w:rsidRPr="00F15BCC" w:rsidRDefault="00F15BCC" w:rsidP="00523C53">
            <w:pPr>
              <w:pStyle w:val="Caption"/>
              <w:rPr>
                <w:rFonts w:ascii="Calibri" w:eastAsia="Times New Roman" w:hAnsi="Calibri" w:cs="Times New Roman"/>
                <w:b w:val="0"/>
                <w:lang w:val="en-GB" w:eastAsia="fr-FR"/>
              </w:rPr>
            </w:pPr>
            <w:bookmarkStart w:id="15" w:name="_Ref388993172"/>
            <w:bookmarkStart w:id="16" w:name="_Toc389213000"/>
            <w:r>
              <w:t xml:space="preserve">Figure </w:t>
            </w:r>
            <w:r>
              <w:fldChar w:fldCharType="begin"/>
            </w:r>
            <w:r>
              <w:instrText xml:space="preserve"> SEQ Figure \* ARABIC </w:instrText>
            </w:r>
            <w:r>
              <w:fldChar w:fldCharType="separate"/>
            </w:r>
            <w:r w:rsidR="007C2EAD">
              <w:rPr>
                <w:noProof/>
              </w:rPr>
              <w:t>4</w:t>
            </w:r>
            <w:r>
              <w:fldChar w:fldCharType="end"/>
            </w:r>
            <w:bookmarkEnd w:id="15"/>
            <w:r w:rsidR="00F07DBE" w:rsidRPr="00DE2A5C">
              <w:rPr>
                <w:rFonts w:ascii="Calibri" w:eastAsia="Times New Roman" w:hAnsi="Calibri" w:cs="Times New Roman"/>
                <w:b w:val="0"/>
                <w:color w:val="000000"/>
                <w:lang w:val="en-GB" w:eastAsia="fr-FR"/>
              </w:rPr>
              <w:t>:</w:t>
            </w:r>
            <w:r w:rsidR="00F07DBE">
              <w:rPr>
                <w:rFonts w:ascii="Calibri" w:eastAsia="Times New Roman" w:hAnsi="Calibri" w:cs="Times New Roman"/>
                <w:b w:val="0"/>
                <w:color w:val="000000"/>
                <w:lang w:val="en-GB" w:eastAsia="fr-FR"/>
              </w:rPr>
              <w:t xml:space="preserve"> </w:t>
            </w:r>
            <w:r w:rsidR="00F07DBE" w:rsidRPr="00F15BCC">
              <w:t xml:space="preserve">average CO2 per capita, </w:t>
            </w:r>
            <w:r w:rsidR="00F07DBE" w:rsidRPr="00F15BCC">
              <w:rPr>
                <w:rFonts w:hint="eastAsia"/>
              </w:rPr>
              <w:t>199</w:t>
            </w:r>
            <w:r w:rsidR="00523C53">
              <w:t>2</w:t>
            </w:r>
            <w:r w:rsidR="00F07DBE" w:rsidRPr="00F15BCC">
              <w:rPr>
                <w:rFonts w:hint="eastAsia"/>
              </w:rPr>
              <w:t>-201</w:t>
            </w:r>
            <w:r w:rsidR="00654B55">
              <w:t>0</w:t>
            </w:r>
            <w:bookmarkEnd w:id="16"/>
          </w:p>
        </w:tc>
      </w:tr>
      <w:tr w:rsidR="00F07DBE" w14:paraId="0F9548D1" w14:textId="77777777" w:rsidTr="00523C53">
        <w:tblPrEx>
          <w:tblCellMar>
            <w:left w:w="70" w:type="dxa"/>
            <w:right w:w="70" w:type="dxa"/>
          </w:tblCellMar>
        </w:tblPrEx>
        <w:trPr>
          <w:trHeight w:val="3871"/>
        </w:trPr>
        <w:tc>
          <w:tcPr>
            <w:tcW w:w="4700" w:type="dxa"/>
          </w:tcPr>
          <w:p w14:paraId="09AAFCC4" w14:textId="380AA936" w:rsidR="00F07DBE" w:rsidRDefault="006D3567" w:rsidP="00664632">
            <w:pPr>
              <w:rPr>
                <w:rFonts w:ascii="Calibri" w:eastAsia="Times New Roman" w:hAnsi="Calibri" w:cs="Times New Roman"/>
                <w:color w:val="000000"/>
                <w:lang w:val="en-GB" w:eastAsia="fr-FR"/>
              </w:rPr>
            </w:pPr>
            <w:r>
              <w:rPr>
                <w:rFonts w:ascii="Calibri" w:eastAsia="Times New Roman" w:hAnsi="Calibri" w:cs="Times New Roman"/>
                <w:noProof/>
                <w:color w:val="000000"/>
                <w:lang w:val="fr-FR" w:eastAsia="fr-FR"/>
              </w:rPr>
              <w:drawing>
                <wp:inline distT="0" distB="0" distL="0" distR="0" wp14:anchorId="0F193B27" wp14:editId="45E68860">
                  <wp:extent cx="2883535"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3535" cy="3048000"/>
                          </a:xfrm>
                          <a:prstGeom prst="rect">
                            <a:avLst/>
                          </a:prstGeom>
                          <a:noFill/>
                        </pic:spPr>
                      </pic:pic>
                    </a:graphicData>
                  </a:graphic>
                </wp:inline>
              </w:drawing>
            </w:r>
          </w:p>
        </w:tc>
        <w:tc>
          <w:tcPr>
            <w:tcW w:w="4833" w:type="dxa"/>
          </w:tcPr>
          <w:p w14:paraId="7FAF9FE0" w14:textId="74F44D56" w:rsidR="00F07DBE" w:rsidRDefault="00523C53" w:rsidP="00664632">
            <w:pPr>
              <w:rPr>
                <w:rFonts w:ascii="Calibri" w:eastAsia="Times New Roman" w:hAnsi="Calibri" w:cs="Times New Roman"/>
                <w:color w:val="000000"/>
                <w:lang w:val="en-GB" w:eastAsia="fr-FR"/>
              </w:rPr>
            </w:pPr>
            <w:r>
              <w:rPr>
                <w:noProof/>
                <w:lang w:val="fr-FR" w:eastAsia="fr-FR"/>
              </w:rPr>
              <w:drawing>
                <wp:inline distT="0" distB="0" distL="0" distR="0" wp14:anchorId="5B47DE04" wp14:editId="05D2C943">
                  <wp:extent cx="2790825" cy="30956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07DBE" w14:paraId="6E5A52A7" w14:textId="77777777" w:rsidTr="00523C53">
        <w:trPr>
          <w:trHeight w:val="330"/>
        </w:trPr>
        <w:tc>
          <w:tcPr>
            <w:tcW w:w="4700" w:type="dxa"/>
          </w:tcPr>
          <w:p w14:paraId="6D1737BD" w14:textId="77777777" w:rsidR="00F07DBE" w:rsidRPr="00A13E0E" w:rsidRDefault="00F07DBE" w:rsidP="00664632">
            <w:pPr>
              <w:rPr>
                <w:rFonts w:ascii="Calibri" w:eastAsia="Times New Roman" w:hAnsi="Calibri" w:cs="Times New Roman"/>
                <w:i/>
                <w:color w:val="000000"/>
                <w:lang w:val="en-GB" w:eastAsia="fr-FR"/>
              </w:rPr>
            </w:pPr>
            <w:r w:rsidRPr="00A13E0E">
              <w:rPr>
                <w:rFonts w:ascii="Calibri" w:eastAsia="Times New Roman" w:hAnsi="Calibri" w:cs="Times New Roman"/>
                <w:i/>
                <w:color w:val="000000"/>
                <w:lang w:val="en-GB" w:eastAsia="fr-FR"/>
              </w:rPr>
              <w:t xml:space="preserve">Source: World Bank data </w:t>
            </w:r>
          </w:p>
        </w:tc>
        <w:tc>
          <w:tcPr>
            <w:tcW w:w="4833" w:type="dxa"/>
          </w:tcPr>
          <w:p w14:paraId="2EC2483F" w14:textId="77777777" w:rsidR="00F07DBE" w:rsidRPr="00DE2A5C" w:rsidRDefault="00F07DBE" w:rsidP="00A46C9F">
            <w:pPr>
              <w:keepNext/>
              <w:rPr>
                <w:rFonts w:ascii="Calibri" w:eastAsia="Times New Roman" w:hAnsi="Calibri" w:cs="Times New Roman"/>
                <w:i/>
                <w:color w:val="000000"/>
                <w:lang w:val="en-GB" w:eastAsia="fr-FR"/>
              </w:rPr>
            </w:pPr>
            <w:r w:rsidRPr="00DE2A5C">
              <w:rPr>
                <w:rFonts w:ascii="Calibri" w:eastAsia="Times New Roman" w:hAnsi="Calibri" w:cs="Times New Roman"/>
                <w:i/>
                <w:color w:val="000000"/>
                <w:lang w:val="en-GB" w:eastAsia="fr-FR"/>
              </w:rPr>
              <w:t xml:space="preserve">Source: World Bank data </w:t>
            </w:r>
          </w:p>
        </w:tc>
      </w:tr>
    </w:tbl>
    <w:p w14:paraId="54184917" w14:textId="77777777" w:rsidR="00746353" w:rsidRDefault="00746353" w:rsidP="00F07DBE">
      <w:pPr>
        <w:rPr>
          <w:rFonts w:ascii="Calibri" w:eastAsia="Times New Roman" w:hAnsi="Calibri" w:cs="Times New Roman"/>
          <w:color w:val="000000"/>
          <w:lang w:val="en-GB" w:eastAsia="fr-FR"/>
        </w:rPr>
      </w:pPr>
    </w:p>
    <w:p w14:paraId="1E98E9B6" w14:textId="67B51C60" w:rsidR="00F07DBE" w:rsidRDefault="00F07DBE" w:rsidP="00F07DBE">
      <w:pPr>
        <w:rPr>
          <w:rFonts w:ascii="Calibri" w:eastAsia="Times New Roman" w:hAnsi="Calibri" w:cs="Times New Roman"/>
          <w:b/>
          <w:lang w:val="en-GB" w:eastAsia="fr-FR"/>
        </w:rPr>
      </w:pPr>
      <w:r>
        <w:rPr>
          <w:rFonts w:ascii="Calibri" w:eastAsia="Times New Roman" w:hAnsi="Calibri" w:cs="Times New Roman"/>
          <w:color w:val="000000"/>
          <w:lang w:val="en-GB" w:eastAsia="fr-FR"/>
        </w:rPr>
        <w:t xml:space="preserve">In sum: the new agreement will have to include a wide diversity of countries. Variation is particularly large within the non-Annex I group. This means that the new agreement should acknowledge the difference between fast-growing, higher capacity emerging economies and the rest of the non-Annex I group. </w:t>
      </w:r>
      <w:r>
        <w:rPr>
          <w:rFonts w:ascii="Calibri" w:eastAsia="Times New Roman" w:hAnsi="Calibri" w:cs="Times New Roman" w:hint="eastAsia"/>
          <w:color w:val="000000"/>
          <w:lang w:val="en-GB" w:eastAsia="zh-CN"/>
        </w:rPr>
        <w:t xml:space="preserve">However, </w:t>
      </w:r>
      <w:r>
        <w:rPr>
          <w:rFonts w:ascii="Calibri" w:eastAsia="Times New Roman" w:hAnsi="Calibri" w:cs="Times New Roman"/>
          <w:color w:val="000000"/>
          <w:lang w:val="en-GB" w:eastAsia="zh-CN"/>
        </w:rPr>
        <w:t>the gaps</w:t>
      </w:r>
      <w:r>
        <w:rPr>
          <w:rFonts w:ascii="Calibri" w:eastAsia="Times New Roman" w:hAnsi="Calibri" w:cs="Times New Roman" w:hint="eastAsia"/>
          <w:color w:val="000000"/>
          <w:lang w:val="en-GB" w:eastAsia="zh-CN"/>
        </w:rPr>
        <w:t xml:space="preserve"> </w:t>
      </w:r>
      <w:r>
        <w:rPr>
          <w:rFonts w:ascii="Calibri" w:eastAsia="Times New Roman" w:hAnsi="Calibri" w:cs="Times New Roman"/>
          <w:color w:val="000000"/>
          <w:lang w:val="en-GB" w:eastAsia="zh-CN"/>
        </w:rPr>
        <w:t>between</w:t>
      </w:r>
      <w:r>
        <w:rPr>
          <w:rFonts w:ascii="Calibri" w:eastAsia="Times New Roman" w:hAnsi="Calibri" w:cs="Times New Roman" w:hint="eastAsia"/>
          <w:color w:val="000000"/>
          <w:lang w:val="en-GB" w:eastAsia="zh-CN"/>
        </w:rPr>
        <w:t xml:space="preserve"> Annex </w:t>
      </w:r>
      <w:r>
        <w:rPr>
          <w:rFonts w:ascii="Calibri" w:eastAsia="Times New Roman" w:hAnsi="Calibri" w:cs="Times New Roman"/>
          <w:color w:val="000000"/>
          <w:lang w:val="en-GB" w:eastAsia="zh-CN"/>
        </w:rPr>
        <w:t>I</w:t>
      </w:r>
      <w:r>
        <w:rPr>
          <w:rFonts w:ascii="Calibri" w:eastAsia="Times New Roman" w:hAnsi="Calibri" w:cs="Times New Roman" w:hint="eastAsia"/>
          <w:color w:val="000000"/>
          <w:lang w:val="en-GB" w:eastAsia="zh-CN"/>
        </w:rPr>
        <w:t xml:space="preserve"> and non-Annex </w:t>
      </w:r>
      <w:r>
        <w:rPr>
          <w:rFonts w:ascii="Calibri" w:eastAsia="Times New Roman" w:hAnsi="Calibri" w:cs="Times New Roman"/>
          <w:color w:val="000000"/>
          <w:lang w:val="en-GB" w:eastAsia="zh-CN"/>
        </w:rPr>
        <w:t>I</w:t>
      </w:r>
      <w:r>
        <w:rPr>
          <w:rFonts w:ascii="Calibri" w:eastAsia="Times New Roman" w:hAnsi="Calibri" w:cs="Times New Roman" w:hint="eastAsia"/>
          <w:color w:val="000000"/>
          <w:lang w:val="en-GB" w:eastAsia="zh-CN"/>
        </w:rPr>
        <w:t xml:space="preserve"> group still significantly large. </w:t>
      </w:r>
      <w:r>
        <w:rPr>
          <w:rFonts w:ascii="Calibri" w:eastAsia="Times New Roman" w:hAnsi="Calibri" w:cs="Times New Roman"/>
          <w:color w:val="000000"/>
          <w:lang w:val="en-GB" w:eastAsia="zh-CN"/>
        </w:rPr>
        <w:t>In</w:t>
      </w:r>
      <w:r>
        <w:rPr>
          <w:rFonts w:ascii="Calibri" w:eastAsia="Times New Roman" w:hAnsi="Calibri" w:cs="Times New Roman" w:hint="eastAsia"/>
          <w:color w:val="000000"/>
          <w:lang w:val="en-GB" w:eastAsia="zh-CN"/>
        </w:rPr>
        <w:t xml:space="preserve"> this regard, </w:t>
      </w:r>
      <w:r w:rsidRPr="005D487C">
        <w:rPr>
          <w:rFonts w:ascii="Calibri" w:eastAsia="Times New Roman" w:hAnsi="Calibri" w:cs="Times New Roman" w:hint="eastAsia"/>
          <w:b/>
          <w:lang w:val="en-GB" w:eastAsia="zh-CN"/>
        </w:rPr>
        <w:t>t</w:t>
      </w:r>
      <w:r w:rsidRPr="005D487C">
        <w:rPr>
          <w:rFonts w:ascii="Calibri" w:eastAsia="Times New Roman" w:hAnsi="Calibri" w:cs="Times New Roman"/>
          <w:b/>
          <w:lang w:val="en-GB" w:eastAsia="fr-FR"/>
        </w:rPr>
        <w:t xml:space="preserve">he new agreement will thus need to provide a flexible and equitable framework for mitigation targets, to reflect this large </w:t>
      </w:r>
      <w:r w:rsidR="00C32BCC">
        <w:rPr>
          <w:rFonts w:ascii="Calibri" w:eastAsia="Times New Roman" w:hAnsi="Calibri" w:cs="Times New Roman"/>
          <w:b/>
          <w:lang w:val="en-GB" w:eastAsia="fr-FR"/>
        </w:rPr>
        <w:t>spectrum</w:t>
      </w:r>
      <w:r w:rsidRPr="005D487C">
        <w:rPr>
          <w:rFonts w:ascii="Calibri" w:eastAsia="Times New Roman" w:hAnsi="Calibri" w:cs="Times New Roman"/>
          <w:b/>
          <w:lang w:val="en-GB" w:eastAsia="fr-FR"/>
        </w:rPr>
        <w:t xml:space="preserve"> of countries</w:t>
      </w:r>
      <w:r>
        <w:rPr>
          <w:rFonts w:ascii="Calibri" w:eastAsia="Times New Roman" w:hAnsi="Calibri" w:cs="Times New Roman"/>
          <w:b/>
          <w:lang w:val="en-GB" w:eastAsia="fr-FR"/>
        </w:rPr>
        <w:t xml:space="preserve"> and gaps in the development of different country groups. </w:t>
      </w:r>
    </w:p>
    <w:p w14:paraId="33C8177F" w14:textId="6F4E5C71" w:rsidR="00963C1B" w:rsidRDefault="00963C1B" w:rsidP="00E57618">
      <w:pPr>
        <w:pStyle w:val="Heading2"/>
        <w:rPr>
          <w:lang w:val="en-GB" w:eastAsia="fr-FR"/>
        </w:rPr>
      </w:pPr>
      <w:bookmarkStart w:id="17" w:name="_Toc389461676"/>
      <w:r w:rsidRPr="006E04DF">
        <w:rPr>
          <w:lang w:val="en-GB" w:eastAsia="fr-FR"/>
        </w:rPr>
        <w:t>C</w:t>
      </w:r>
      <w:r w:rsidR="00813167" w:rsidRPr="006E04DF">
        <w:rPr>
          <w:lang w:val="en-GB" w:eastAsia="fr-FR"/>
        </w:rPr>
        <w:t xml:space="preserve">limate </w:t>
      </w:r>
      <w:r w:rsidRPr="006E04DF">
        <w:rPr>
          <w:lang w:val="en-GB" w:eastAsia="fr-FR"/>
        </w:rPr>
        <w:t>C</w:t>
      </w:r>
      <w:r w:rsidR="00813167" w:rsidRPr="006E04DF">
        <w:rPr>
          <w:lang w:val="en-GB" w:eastAsia="fr-FR"/>
        </w:rPr>
        <w:t xml:space="preserve">hange as a </w:t>
      </w:r>
      <w:r w:rsidRPr="006E04DF">
        <w:rPr>
          <w:lang w:val="en-GB" w:eastAsia="fr-FR"/>
        </w:rPr>
        <w:t>L</w:t>
      </w:r>
      <w:r w:rsidR="00813167" w:rsidRPr="006E04DF">
        <w:rPr>
          <w:lang w:val="en-GB" w:eastAsia="fr-FR"/>
        </w:rPr>
        <w:t>ong-</w:t>
      </w:r>
      <w:r w:rsidRPr="006E04DF">
        <w:rPr>
          <w:lang w:val="en-GB" w:eastAsia="fr-FR"/>
        </w:rPr>
        <w:t>T</w:t>
      </w:r>
      <w:r w:rsidR="00813167" w:rsidRPr="006E04DF">
        <w:rPr>
          <w:lang w:val="en-GB" w:eastAsia="fr-FR"/>
        </w:rPr>
        <w:t xml:space="preserve">erm </w:t>
      </w:r>
      <w:r w:rsidRPr="006E04DF">
        <w:rPr>
          <w:lang w:val="en-GB" w:eastAsia="fr-FR"/>
        </w:rPr>
        <w:t>Structural Challenge</w:t>
      </w:r>
      <w:r w:rsidR="00EB63AF" w:rsidRPr="006E04DF">
        <w:rPr>
          <w:lang w:val="en-GB" w:eastAsia="fr-FR"/>
        </w:rPr>
        <w:t xml:space="preserve"> and the Need for Global Coordination</w:t>
      </w:r>
      <w:bookmarkEnd w:id="17"/>
      <w:r w:rsidRPr="006E04DF">
        <w:rPr>
          <w:lang w:val="en-GB" w:eastAsia="fr-FR"/>
        </w:rPr>
        <w:t xml:space="preserve"> </w:t>
      </w:r>
    </w:p>
    <w:p w14:paraId="28B00FE8" w14:textId="13608543" w:rsidR="00C32BCC" w:rsidRDefault="00C32BCC" w:rsidP="00C32BCC">
      <w:pP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Climate change is often described as a “wicked problem”.</w:t>
      </w:r>
      <w:r>
        <w:rPr>
          <w:rFonts w:ascii="Calibri" w:eastAsia="Times New Roman" w:hAnsi="Calibri" w:cs="Times New Roman"/>
          <w:b/>
          <w:color w:val="000000"/>
          <w:lang w:val="en-GB" w:eastAsia="fr-FR"/>
        </w:rPr>
        <w:t xml:space="preserve"> </w:t>
      </w:r>
      <w:r w:rsidRPr="00963C1B">
        <w:rPr>
          <w:rFonts w:ascii="Calibri" w:eastAsia="Times New Roman" w:hAnsi="Calibri" w:cs="Times New Roman"/>
          <w:color w:val="000000"/>
          <w:lang w:val="en-GB" w:eastAsia="fr-FR"/>
        </w:rPr>
        <w:t xml:space="preserve">GHG emissions come from all sectors and all activities within the economy. </w:t>
      </w:r>
      <w:r>
        <w:rPr>
          <w:rFonts w:ascii="Calibri" w:eastAsia="Times New Roman" w:hAnsi="Calibri" w:cs="Times New Roman"/>
          <w:color w:val="000000"/>
          <w:lang w:val="en-GB" w:eastAsia="fr-FR"/>
        </w:rPr>
        <w:t>Climate policy has many interactions with other development agendas, such as</w:t>
      </w:r>
      <w:r w:rsidR="007C2EAD">
        <w:rPr>
          <w:rFonts w:ascii="Calibri" w:eastAsia="Times New Roman" w:hAnsi="Calibri" w:cs="Times New Roman"/>
          <w:color w:val="000000"/>
          <w:lang w:val="en-GB" w:eastAsia="fr-FR"/>
        </w:rPr>
        <w:t xml:space="preserve"> growth,</w:t>
      </w:r>
      <w:r w:rsidR="002A2DBF">
        <w:rPr>
          <w:rFonts w:ascii="Calibri" w:eastAsia="Times New Roman" w:hAnsi="Calibri" w:cs="Times New Roman"/>
          <w:color w:val="000000"/>
          <w:lang w:val="en-GB" w:eastAsia="fr-FR"/>
        </w:rPr>
        <w:t xml:space="preserve"> poverty alleviation,</w:t>
      </w:r>
      <w:r w:rsidR="007C2EAD">
        <w:rPr>
          <w:rFonts w:ascii="Calibri" w:eastAsia="Times New Roman" w:hAnsi="Calibri" w:cs="Times New Roman"/>
          <w:color w:val="000000"/>
          <w:lang w:val="en-GB" w:eastAsia="fr-FR"/>
        </w:rPr>
        <w:t xml:space="preserve"> job creation,</w:t>
      </w:r>
      <w:r>
        <w:rPr>
          <w:rFonts w:ascii="Calibri" w:eastAsia="Times New Roman" w:hAnsi="Calibri" w:cs="Times New Roman"/>
          <w:color w:val="000000"/>
          <w:lang w:val="en-GB" w:eastAsia="fr-FR"/>
        </w:rPr>
        <w:t xml:space="preserve"> environmental quality, energy security and access, and poverty eradication. These interactions, including potential co-benefits to climate action, need to be understood and included in the consideration of the mitigation framework.  </w:t>
      </w:r>
    </w:p>
    <w:p w14:paraId="26B5B777" w14:textId="419F1563" w:rsidR="00746353" w:rsidRDefault="00746353" w:rsidP="00C32BCC">
      <w:pP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 xml:space="preserve">It is useful to distinguish between three different kinds of uncertainty regarding </w:t>
      </w:r>
      <w:r w:rsidR="002A2DBF">
        <w:rPr>
          <w:rFonts w:ascii="Calibri" w:eastAsia="Times New Roman" w:hAnsi="Calibri" w:cs="Times New Roman"/>
          <w:color w:val="000000"/>
          <w:lang w:val="en-GB" w:eastAsia="fr-FR"/>
        </w:rPr>
        <w:t>emissions pathways</w:t>
      </w:r>
      <w:r>
        <w:rPr>
          <w:rFonts w:ascii="Calibri" w:eastAsia="Times New Roman" w:hAnsi="Calibri" w:cs="Times New Roman"/>
          <w:color w:val="000000"/>
          <w:lang w:val="en-GB" w:eastAsia="fr-FR"/>
        </w:rPr>
        <w:t>:</w:t>
      </w:r>
    </w:p>
    <w:p w14:paraId="4D5BB7D3" w14:textId="0F044BB7" w:rsidR="007C2EAD" w:rsidRDefault="00746353" w:rsidP="001B3222">
      <w:pPr>
        <w:pStyle w:val="ListParagraph"/>
        <w:numPr>
          <w:ilvl w:val="0"/>
          <w:numId w:val="26"/>
        </w:numPr>
        <w:rPr>
          <w:rFonts w:ascii="Calibri" w:eastAsia="Times New Roman" w:hAnsi="Calibri" w:cs="Times New Roman"/>
          <w:color w:val="000000"/>
          <w:lang w:val="en-GB" w:eastAsia="fr-FR"/>
        </w:rPr>
      </w:pPr>
      <w:r w:rsidRPr="007C2EAD">
        <w:rPr>
          <w:rFonts w:ascii="Calibri" w:eastAsia="Times New Roman" w:hAnsi="Calibri" w:cs="Times New Roman"/>
          <w:i/>
          <w:color w:val="000000"/>
          <w:u w:val="single"/>
          <w:lang w:val="en-GB" w:eastAsia="fr-FR"/>
        </w:rPr>
        <w:t>Structural uncertainty</w:t>
      </w:r>
      <w:r w:rsidRPr="007C2EAD">
        <w:rPr>
          <w:rFonts w:ascii="Calibri" w:eastAsia="Times New Roman" w:hAnsi="Calibri" w:cs="Times New Roman"/>
          <w:color w:val="000000"/>
          <w:lang w:val="en-GB" w:eastAsia="fr-FR"/>
        </w:rPr>
        <w:t xml:space="preserve">: </w:t>
      </w:r>
      <w:r w:rsidR="00C32BCC" w:rsidRPr="007C2EAD">
        <w:rPr>
          <w:rFonts w:ascii="Calibri" w:eastAsia="Times New Roman" w:hAnsi="Calibri" w:cs="Times New Roman"/>
          <w:color w:val="000000"/>
          <w:lang w:val="en-GB" w:eastAsia="fr-FR"/>
        </w:rPr>
        <w:t xml:space="preserve">Climate policies aim to effect long-term change in inert systems: to alter investment flows and economic incentives, the composition of long-lived capital stock, </w:t>
      </w:r>
      <w:r w:rsidR="00C32BCC" w:rsidRPr="007C2EAD">
        <w:rPr>
          <w:rFonts w:ascii="Calibri" w:eastAsia="Times New Roman" w:hAnsi="Calibri" w:cs="Times New Roman"/>
          <w:color w:val="000000"/>
          <w:lang w:val="en-GB" w:eastAsia="fr-FR"/>
        </w:rPr>
        <w:lastRenderedPageBreak/>
        <w:t>and consumption choices. Such economic, physical and social change takes time. Long-term developments such as urbanization patterns can have very significant impacts on long-term emissions.</w:t>
      </w:r>
      <w:r w:rsidRPr="007C2EAD">
        <w:rPr>
          <w:rFonts w:ascii="Calibri" w:eastAsia="Times New Roman" w:hAnsi="Calibri" w:cs="Times New Roman"/>
          <w:color w:val="000000"/>
          <w:lang w:val="en-GB" w:eastAsia="fr-FR"/>
        </w:rPr>
        <w:t xml:space="preserve"> </w:t>
      </w:r>
      <w:r w:rsidR="007C2EAD" w:rsidRPr="007C2EAD">
        <w:rPr>
          <w:rFonts w:ascii="Calibri" w:eastAsia="Times New Roman" w:hAnsi="Calibri" w:cs="Times New Roman"/>
          <w:color w:val="000000"/>
          <w:lang w:val="en-GB" w:eastAsia="fr-FR"/>
        </w:rPr>
        <w:t>Factors such as the rate and structure of econom</w:t>
      </w:r>
      <w:r w:rsidR="00070D05">
        <w:rPr>
          <w:rFonts w:ascii="Calibri" w:eastAsia="Times New Roman" w:hAnsi="Calibri" w:cs="Times New Roman"/>
          <w:color w:val="000000"/>
          <w:lang w:val="en-GB" w:eastAsia="fr-FR"/>
        </w:rPr>
        <w:t>ic</w:t>
      </w:r>
      <w:r w:rsidR="007C2EAD" w:rsidRPr="007C2EAD">
        <w:rPr>
          <w:rFonts w:ascii="Calibri" w:eastAsia="Times New Roman" w:hAnsi="Calibri" w:cs="Times New Roman"/>
          <w:color w:val="000000"/>
          <w:lang w:val="en-GB" w:eastAsia="fr-FR"/>
        </w:rPr>
        <w:t xml:space="preserve"> growth can have a large impact on emissions. Behavioural patterns, such as demand for goods and services, are also important. </w:t>
      </w:r>
      <w:r w:rsidR="007C2EAD">
        <w:rPr>
          <w:rFonts w:ascii="Calibri" w:eastAsia="Times New Roman" w:hAnsi="Calibri" w:cs="Times New Roman"/>
          <w:color w:val="000000"/>
          <w:lang w:val="en-GB" w:eastAsia="fr-FR"/>
        </w:rPr>
        <w:t>In the short-term these uncertainties are often seen as ‘exogenous’ to climate policy. However,</w:t>
      </w:r>
      <w:r w:rsidR="00070D05">
        <w:rPr>
          <w:rFonts w:ascii="Calibri" w:eastAsia="Times New Roman" w:hAnsi="Calibri" w:cs="Times New Roman"/>
          <w:color w:val="000000"/>
          <w:lang w:val="en-GB" w:eastAsia="fr-FR"/>
        </w:rPr>
        <w:t xml:space="preserve"> such structural factors</w:t>
      </w:r>
      <w:r w:rsidR="007C2EAD">
        <w:rPr>
          <w:rFonts w:ascii="Calibri" w:eastAsia="Times New Roman" w:hAnsi="Calibri" w:cs="Times New Roman"/>
          <w:color w:val="000000"/>
          <w:lang w:val="en-GB" w:eastAsia="fr-FR"/>
        </w:rPr>
        <w:t xml:space="preserve"> need to be included in long-term mitigation strategies.  </w:t>
      </w:r>
    </w:p>
    <w:p w14:paraId="3E218828" w14:textId="792715F6" w:rsidR="007C2EAD" w:rsidRDefault="007C2EAD" w:rsidP="001B3222">
      <w:pPr>
        <w:pStyle w:val="ListParagraph"/>
        <w:numPr>
          <w:ilvl w:val="0"/>
          <w:numId w:val="26"/>
        </w:numPr>
        <w:rPr>
          <w:rFonts w:ascii="Calibri" w:eastAsia="Times New Roman" w:hAnsi="Calibri" w:cs="Times New Roman"/>
          <w:color w:val="000000"/>
          <w:lang w:val="en-GB" w:eastAsia="fr-FR"/>
        </w:rPr>
      </w:pPr>
      <w:r>
        <w:rPr>
          <w:rFonts w:ascii="Calibri" w:eastAsia="Times New Roman" w:hAnsi="Calibri" w:cs="Times New Roman"/>
          <w:i/>
          <w:color w:val="000000"/>
          <w:u w:val="single"/>
          <w:lang w:val="en-GB" w:eastAsia="fr-FR"/>
        </w:rPr>
        <w:t>Technologica</w:t>
      </w:r>
      <w:r w:rsidRPr="007C2EAD">
        <w:rPr>
          <w:rFonts w:ascii="Calibri" w:eastAsia="Times New Roman" w:hAnsi="Calibri" w:cs="Times New Roman"/>
          <w:i/>
          <w:color w:val="000000"/>
          <w:u w:val="single"/>
          <w:lang w:val="en-GB" w:eastAsia="fr-FR"/>
        </w:rPr>
        <w:t>l uncertainty</w:t>
      </w:r>
      <w:r>
        <w:rPr>
          <w:rFonts w:ascii="Calibri" w:eastAsia="Times New Roman" w:hAnsi="Calibri" w:cs="Times New Roman"/>
          <w:color w:val="000000"/>
          <w:u w:val="single"/>
          <w:lang w:val="en-GB" w:eastAsia="fr-FR"/>
        </w:rPr>
        <w:t>:</w:t>
      </w:r>
      <w:r>
        <w:rPr>
          <w:rFonts w:ascii="Calibri" w:eastAsia="Times New Roman" w:hAnsi="Calibri" w:cs="Times New Roman"/>
          <w:color w:val="000000"/>
          <w:lang w:val="en-GB" w:eastAsia="fr-FR"/>
        </w:rPr>
        <w:t xml:space="preserve"> </w:t>
      </w:r>
      <w:r w:rsidR="001B3222" w:rsidRPr="007C2EAD">
        <w:rPr>
          <w:rFonts w:ascii="Calibri" w:eastAsia="Times New Roman" w:hAnsi="Calibri" w:cs="Times New Roman"/>
          <w:color w:val="000000"/>
          <w:lang w:val="en-GB" w:eastAsia="fr-FR"/>
        </w:rPr>
        <w:t xml:space="preserve">Reaching deep emissions reductions will require significant technology innovation to bring down costs and to demonstrate and commercialize less mature technologies, as discussed in </w:t>
      </w:r>
      <w:r w:rsidR="001B3222" w:rsidRPr="007C2EAD">
        <w:rPr>
          <w:rFonts w:ascii="Calibri" w:eastAsia="Times New Roman" w:hAnsi="Calibri" w:cs="Times New Roman"/>
          <w:color w:val="000000"/>
          <w:lang w:val="en-GB" w:eastAsia="fr-FR"/>
        </w:rPr>
        <w:fldChar w:fldCharType="begin"/>
      </w:r>
      <w:r w:rsidR="001B3222" w:rsidRPr="007C2EAD">
        <w:rPr>
          <w:rFonts w:ascii="Calibri" w:eastAsia="Times New Roman" w:hAnsi="Calibri" w:cs="Times New Roman"/>
          <w:color w:val="000000"/>
          <w:lang w:val="en-GB" w:eastAsia="fr-FR"/>
        </w:rPr>
        <w:instrText xml:space="preserve"> REF _Ref388541066 \r \h </w:instrText>
      </w:r>
      <w:r w:rsidR="001B3222" w:rsidRPr="007C2EAD">
        <w:rPr>
          <w:rFonts w:ascii="Calibri" w:eastAsia="Times New Roman" w:hAnsi="Calibri" w:cs="Times New Roman"/>
          <w:color w:val="000000"/>
          <w:lang w:val="en-GB" w:eastAsia="fr-FR"/>
        </w:rPr>
      </w:r>
      <w:r w:rsidR="001B3222" w:rsidRPr="007C2EAD">
        <w:rPr>
          <w:rFonts w:ascii="Calibri" w:eastAsia="Times New Roman" w:hAnsi="Calibri" w:cs="Times New Roman"/>
          <w:color w:val="000000"/>
          <w:lang w:val="en-GB" w:eastAsia="fr-FR"/>
        </w:rPr>
        <w:fldChar w:fldCharType="separate"/>
      </w:r>
      <w:r w:rsidR="001B3222" w:rsidRPr="007C2EAD">
        <w:rPr>
          <w:rFonts w:ascii="Calibri" w:eastAsia="Times New Roman" w:hAnsi="Calibri" w:cs="Times New Roman"/>
          <w:color w:val="000000"/>
          <w:lang w:val="en-GB" w:eastAsia="fr-FR"/>
        </w:rPr>
        <w:t>2.1</w:t>
      </w:r>
      <w:r w:rsidR="001B3222" w:rsidRPr="007C2EAD">
        <w:rPr>
          <w:rFonts w:ascii="Calibri" w:eastAsia="Times New Roman" w:hAnsi="Calibri" w:cs="Times New Roman"/>
          <w:color w:val="000000"/>
          <w:lang w:val="en-GB" w:eastAsia="fr-FR"/>
        </w:rPr>
        <w:fldChar w:fldCharType="end"/>
      </w:r>
      <w:r w:rsidR="001B3222" w:rsidRPr="007C2EAD">
        <w:rPr>
          <w:rFonts w:ascii="Calibri" w:eastAsia="Times New Roman" w:hAnsi="Calibri" w:cs="Times New Roman"/>
          <w:color w:val="000000"/>
          <w:lang w:val="en-GB" w:eastAsia="fr-FR"/>
        </w:rPr>
        <w:t xml:space="preserve"> above. Some of the required technologies are ‘global’ in the sense that they operate in highly traded product markets (batteries, for example). Here assumptions about global innovation, demonstration and deployment are crucial. Other technologies are ‘global’ in the sense that they confer no private benefits in the absence of strong policy to solve global climate change. CCS is a case in point.</w:t>
      </w:r>
      <w:r w:rsidR="00070D05">
        <w:rPr>
          <w:rFonts w:ascii="Calibri" w:eastAsia="Times New Roman" w:hAnsi="Calibri" w:cs="Times New Roman"/>
          <w:color w:val="000000"/>
          <w:lang w:val="en-GB" w:eastAsia="fr-FR"/>
        </w:rPr>
        <w:t xml:space="preserve"> Global policy cooperation and coordination will be required to reduce technology uncertainties.</w:t>
      </w:r>
    </w:p>
    <w:p w14:paraId="7F060CD1" w14:textId="3C7746C4" w:rsidR="001B3222" w:rsidRPr="007C2EAD" w:rsidRDefault="007C2EAD" w:rsidP="001B3222">
      <w:pPr>
        <w:pStyle w:val="ListParagraph"/>
        <w:numPr>
          <w:ilvl w:val="0"/>
          <w:numId w:val="26"/>
        </w:numPr>
        <w:rPr>
          <w:rFonts w:ascii="Calibri" w:eastAsia="Times New Roman" w:hAnsi="Calibri" w:cs="Times New Roman"/>
          <w:color w:val="000000"/>
          <w:lang w:val="en-GB" w:eastAsia="fr-FR"/>
        </w:rPr>
      </w:pPr>
      <w:r>
        <w:rPr>
          <w:rFonts w:ascii="Calibri" w:eastAsia="Times New Roman" w:hAnsi="Calibri" w:cs="Times New Roman"/>
          <w:i/>
          <w:color w:val="000000"/>
          <w:u w:val="single"/>
          <w:lang w:val="en-GB" w:eastAsia="fr-FR"/>
        </w:rPr>
        <w:t>Policy uncertainty</w:t>
      </w:r>
      <w:r>
        <w:rPr>
          <w:rFonts w:ascii="Calibri" w:eastAsia="Times New Roman" w:hAnsi="Calibri" w:cs="Times New Roman"/>
          <w:color w:val="000000"/>
          <w:u w:val="single"/>
          <w:lang w:val="en-GB" w:eastAsia="fr-FR"/>
        </w:rPr>
        <w:t xml:space="preserve">: </w:t>
      </w:r>
      <w:r w:rsidR="00746353" w:rsidRPr="007C2EAD">
        <w:rPr>
          <w:rFonts w:ascii="Calibri" w:eastAsia="Times New Roman" w:hAnsi="Calibri" w:cs="Times New Roman"/>
          <w:color w:val="000000"/>
          <w:lang w:val="en-GB" w:eastAsia="fr-FR"/>
        </w:rPr>
        <w:t xml:space="preserve"> </w:t>
      </w:r>
      <w:r w:rsidR="001B3222" w:rsidRPr="007C2EAD">
        <w:rPr>
          <w:rFonts w:ascii="Calibri" w:eastAsia="Times New Roman" w:hAnsi="Calibri" w:cs="Times New Roman"/>
          <w:color w:val="000000"/>
          <w:lang w:val="en-GB" w:eastAsia="fr-FR"/>
        </w:rPr>
        <w:t xml:space="preserve"> </w:t>
      </w:r>
      <w:r w:rsidRPr="007C2EAD">
        <w:rPr>
          <w:rFonts w:ascii="Calibri" w:eastAsia="Times New Roman" w:hAnsi="Calibri" w:cs="Times New Roman"/>
          <w:color w:val="000000"/>
          <w:lang w:val="en-GB" w:eastAsia="fr-FR"/>
        </w:rPr>
        <w:t>Climate policies are complex, long-term interventions in production and consumption modes across all sectors and levels of society.</w:t>
      </w:r>
      <w:r>
        <w:rPr>
          <w:rFonts w:ascii="Calibri" w:eastAsia="Times New Roman" w:hAnsi="Calibri" w:cs="Times New Roman"/>
          <w:color w:val="000000"/>
          <w:lang w:val="en-GB" w:eastAsia="fr-FR"/>
        </w:rPr>
        <w:t xml:space="preserve"> They require significant administrative capacity. For some</w:t>
      </w:r>
      <w:r w:rsidR="001C589B">
        <w:rPr>
          <w:rFonts w:ascii="Calibri" w:eastAsia="Times New Roman" w:hAnsi="Calibri" w:cs="Times New Roman" w:hint="eastAsia"/>
          <w:color w:val="000000"/>
          <w:lang w:val="en-GB" w:eastAsia="zh-CN"/>
        </w:rPr>
        <w:t xml:space="preserve"> </w:t>
      </w:r>
      <w:r>
        <w:rPr>
          <w:rFonts w:ascii="Calibri" w:eastAsia="Times New Roman" w:hAnsi="Calibri" w:cs="Times New Roman"/>
          <w:color w:val="000000"/>
          <w:lang w:val="en-GB" w:eastAsia="fr-FR"/>
        </w:rPr>
        <w:t xml:space="preserve">countries this may be a real issue in the short-term. </w:t>
      </w:r>
    </w:p>
    <w:p w14:paraId="05CAF5BA" w14:textId="32D9604E" w:rsidR="00C32BCC" w:rsidRDefault="001B3222" w:rsidP="00C32BCC">
      <w:pP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 xml:space="preserve">Some </w:t>
      </w:r>
      <w:r w:rsidR="00C32BCC">
        <w:rPr>
          <w:rFonts w:ascii="Calibri" w:eastAsia="Times New Roman" w:hAnsi="Calibri" w:cs="Times New Roman"/>
          <w:color w:val="000000"/>
          <w:lang w:val="en-GB" w:eastAsia="fr-FR"/>
        </w:rPr>
        <w:t xml:space="preserve">uncertainties are particularly large in fast growing developing countries, </w:t>
      </w:r>
      <w:r>
        <w:rPr>
          <w:rFonts w:ascii="Calibri" w:eastAsia="Times New Roman" w:hAnsi="Calibri" w:cs="Times New Roman"/>
          <w:color w:val="000000"/>
          <w:lang w:val="en-GB" w:eastAsia="fr-FR"/>
        </w:rPr>
        <w:t xml:space="preserve">particularly relating to </w:t>
      </w:r>
      <w:r w:rsidR="007C2EAD">
        <w:rPr>
          <w:rFonts w:ascii="Calibri" w:eastAsia="Times New Roman" w:hAnsi="Calibri" w:cs="Times New Roman"/>
          <w:color w:val="000000"/>
          <w:lang w:val="en-GB" w:eastAsia="fr-FR"/>
        </w:rPr>
        <w:t>structural uncertainties (growth rate and structure, societal consumption patterns, urbanization)</w:t>
      </w:r>
      <w:r w:rsidR="00C32BCC">
        <w:rPr>
          <w:rFonts w:ascii="Calibri" w:eastAsia="Times New Roman" w:hAnsi="Calibri" w:cs="Times New Roman"/>
          <w:color w:val="000000"/>
          <w:lang w:val="en-GB" w:eastAsia="fr-FR"/>
        </w:rPr>
        <w:t>. This can be seen looking back at past projections of emissions performances, compared to actual outcomes. Figure 5 compares the CO</w:t>
      </w:r>
      <w:r w:rsidR="00C32BCC" w:rsidRPr="00BA0EDC">
        <w:rPr>
          <w:rFonts w:ascii="Calibri" w:eastAsia="Times New Roman" w:hAnsi="Calibri" w:cs="Times New Roman"/>
          <w:color w:val="000000"/>
          <w:vertAlign w:val="subscript"/>
          <w:lang w:val="en-GB" w:eastAsia="fr-FR"/>
        </w:rPr>
        <w:t>2</w:t>
      </w:r>
      <w:r w:rsidR="00C32BCC">
        <w:rPr>
          <w:rFonts w:ascii="Calibri" w:eastAsia="Times New Roman" w:hAnsi="Calibri" w:cs="Times New Roman"/>
          <w:color w:val="000000"/>
          <w:lang w:val="en-GB" w:eastAsia="fr-FR"/>
        </w:rPr>
        <w:t xml:space="preserve"> emissions projections of the World Energy Outlook 2000 and the World Energy Outlook 2002, for the years 2010 and 2020, with actual historical emissions in 2010. It can be seen that actual outcomes in 2010 deviated significantly from projections. The deviation amounted to an overestimation of actual 2010 emissions by 10-15% and 10-19% for the OECD North America and Europe, respectively. It amounted to an underestimation of 33-42% and 6-22% for China and India, respectively.</w:t>
      </w:r>
      <w:r w:rsidR="00C32BCC">
        <w:rPr>
          <w:rStyle w:val="FootnoteReference"/>
          <w:rFonts w:ascii="Calibri" w:eastAsia="Times New Roman" w:hAnsi="Calibri" w:cs="Times New Roman"/>
          <w:color w:val="000000"/>
          <w:lang w:val="en-GB" w:eastAsia="fr-FR"/>
        </w:rPr>
        <w:footnoteReference w:id="27"/>
      </w:r>
      <w:r w:rsidR="00C32BCC">
        <w:rPr>
          <w:rFonts w:ascii="Calibri" w:eastAsia="Times New Roman" w:hAnsi="Calibri" w:cs="Times New Roman"/>
          <w:color w:val="000000"/>
          <w:lang w:val="en-GB" w:eastAsia="fr-FR"/>
        </w:rPr>
        <w:t xml:space="preserve">    </w:t>
      </w:r>
    </w:p>
    <w:p w14:paraId="0E729673" w14:textId="77777777" w:rsidR="008E4E5E" w:rsidRDefault="008E4E5E" w:rsidP="00C32BCC">
      <w:pPr>
        <w:rPr>
          <w:rFonts w:ascii="Calibri" w:eastAsia="Times New Roman" w:hAnsi="Calibri" w:cs="Times New Roman"/>
          <w:color w:val="000000"/>
          <w:lang w:val="en-GB" w:eastAsia="fr-FR"/>
        </w:rPr>
      </w:pPr>
    </w:p>
    <w:p w14:paraId="5D0260E3" w14:textId="77777777" w:rsidR="008E4E5E" w:rsidRDefault="008E4E5E" w:rsidP="00C32BCC">
      <w:pPr>
        <w:rPr>
          <w:rFonts w:ascii="Calibri" w:eastAsia="Times New Roman" w:hAnsi="Calibri" w:cs="Times New Roman"/>
          <w:color w:val="000000"/>
          <w:lang w:val="en-GB" w:eastAsia="fr-FR"/>
        </w:rPr>
      </w:pPr>
    </w:p>
    <w:p w14:paraId="3F4BDDA0" w14:textId="77777777" w:rsidR="008E4E5E" w:rsidRDefault="008E4E5E" w:rsidP="00C32BCC">
      <w:pPr>
        <w:rPr>
          <w:rFonts w:ascii="Calibri" w:eastAsia="Times New Roman" w:hAnsi="Calibri" w:cs="Times New Roman"/>
          <w:color w:val="000000"/>
          <w:lang w:val="en-GB" w:eastAsia="fr-FR"/>
        </w:rPr>
      </w:pPr>
    </w:p>
    <w:p w14:paraId="5C8211F3" w14:textId="77777777" w:rsidR="008E4E5E" w:rsidRDefault="008E4E5E" w:rsidP="00C32BCC">
      <w:pPr>
        <w:rPr>
          <w:rFonts w:ascii="Calibri" w:eastAsia="Times New Roman" w:hAnsi="Calibri" w:cs="Times New Roman"/>
          <w:color w:val="000000"/>
          <w:lang w:val="en-GB" w:eastAsia="fr-FR"/>
        </w:rPr>
      </w:pPr>
    </w:p>
    <w:p w14:paraId="04F7746B" w14:textId="77777777" w:rsidR="008E4E5E" w:rsidRDefault="008E4E5E" w:rsidP="00C32BCC">
      <w:pPr>
        <w:rPr>
          <w:rFonts w:ascii="Calibri" w:eastAsia="Times New Roman" w:hAnsi="Calibri" w:cs="Times New Roman"/>
          <w:color w:val="000000"/>
          <w:lang w:val="en-GB" w:eastAsia="fr-FR"/>
        </w:rPr>
      </w:pPr>
    </w:p>
    <w:p w14:paraId="226D0720" w14:textId="77777777" w:rsidR="00BA0EDC" w:rsidRDefault="00BA0EDC" w:rsidP="00C32BCC">
      <w:pPr>
        <w:rPr>
          <w:rFonts w:ascii="Calibri" w:eastAsia="Times New Roman" w:hAnsi="Calibri" w:cs="Times New Roman"/>
          <w:color w:val="000000"/>
          <w:lang w:val="en-GB" w:eastAsia="fr-FR"/>
        </w:rPr>
      </w:pPr>
    </w:p>
    <w:p w14:paraId="4BB71D5C" w14:textId="77777777" w:rsidR="00BA0EDC" w:rsidRDefault="00BA0EDC" w:rsidP="00C32BCC">
      <w:pPr>
        <w:rPr>
          <w:rFonts w:ascii="Calibri" w:eastAsia="Times New Roman" w:hAnsi="Calibri" w:cs="Times New Roman"/>
          <w:color w:val="000000"/>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tblGrid>
      <w:tr w:rsidR="00C32BCC" w14:paraId="552FE57A" w14:textId="77777777" w:rsidTr="008A4E43">
        <w:tc>
          <w:tcPr>
            <w:tcW w:w="8870" w:type="dxa"/>
          </w:tcPr>
          <w:p w14:paraId="3708519E" w14:textId="267F1A6A" w:rsidR="00C32BCC" w:rsidRPr="00740C3B" w:rsidRDefault="007C2EAD" w:rsidP="007C2EAD">
            <w:pPr>
              <w:pStyle w:val="Caption"/>
              <w:rPr>
                <w:rFonts w:ascii="Calibri" w:eastAsia="Times New Roman" w:hAnsi="Calibri" w:cs="Times New Roman"/>
                <w:b w:val="0"/>
                <w:color w:val="000000"/>
                <w:lang w:val="en-GB" w:eastAsia="fr-FR"/>
              </w:rPr>
            </w:pPr>
            <w:bookmarkStart w:id="18" w:name="_Toc389213001"/>
            <w:r>
              <w:t xml:space="preserve">Figure </w:t>
            </w:r>
            <w:r>
              <w:fldChar w:fldCharType="begin"/>
            </w:r>
            <w:r>
              <w:instrText xml:space="preserve"> SEQ Figure \* ARABIC </w:instrText>
            </w:r>
            <w:r>
              <w:fldChar w:fldCharType="separate"/>
            </w:r>
            <w:r>
              <w:rPr>
                <w:noProof/>
              </w:rPr>
              <w:t>5</w:t>
            </w:r>
            <w:r>
              <w:fldChar w:fldCharType="end"/>
            </w:r>
            <w:r>
              <w:t xml:space="preserve">: </w:t>
            </w:r>
            <w:r w:rsidR="00C32BCC" w:rsidRPr="007C2EAD">
              <w:t>Comparison of past projections of emissions with historical data</w:t>
            </w:r>
            <w:bookmarkEnd w:id="18"/>
            <w:r w:rsidR="00C32BCC" w:rsidRPr="00BC57C6" w:rsidDel="00BC57C6">
              <w:rPr>
                <w:rFonts w:ascii="Calibri" w:eastAsia="Times New Roman" w:hAnsi="Calibri" w:cs="Times New Roman"/>
                <w:b w:val="0"/>
                <w:color w:val="000000"/>
                <w:lang w:val="en-GB" w:eastAsia="fr-FR"/>
              </w:rPr>
              <w:t xml:space="preserve"> </w:t>
            </w:r>
          </w:p>
        </w:tc>
      </w:tr>
      <w:tr w:rsidR="00C32BCC" w14:paraId="2E1FDD4F" w14:textId="77777777" w:rsidTr="008A4E43">
        <w:tblPrEx>
          <w:tblCellMar>
            <w:left w:w="70" w:type="dxa"/>
            <w:right w:w="70" w:type="dxa"/>
          </w:tblCellMar>
        </w:tblPrEx>
        <w:tc>
          <w:tcPr>
            <w:tcW w:w="8870" w:type="dxa"/>
          </w:tcPr>
          <w:p w14:paraId="29835350" w14:textId="77777777" w:rsidR="00C32BCC" w:rsidRDefault="00C32BCC" w:rsidP="008A4E43">
            <w:pPr>
              <w:rPr>
                <w:rFonts w:ascii="Calibri" w:eastAsia="Times New Roman" w:hAnsi="Calibri" w:cs="Times New Roman"/>
                <w:color w:val="000000"/>
                <w:lang w:val="en-GB" w:eastAsia="fr-FR"/>
              </w:rPr>
            </w:pPr>
            <w:r>
              <w:rPr>
                <w:noProof/>
                <w:lang w:val="fr-FR" w:eastAsia="fr-FR"/>
              </w:rPr>
              <w:lastRenderedPageBreak/>
              <w:drawing>
                <wp:inline distT="0" distB="0" distL="0" distR="0" wp14:anchorId="03FF009F" wp14:editId="68C774CE">
                  <wp:extent cx="5537607" cy="3357677"/>
                  <wp:effectExtent l="0" t="0" r="63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32BCC" w14:paraId="3C1983CF" w14:textId="77777777" w:rsidTr="008A4E43">
        <w:tc>
          <w:tcPr>
            <w:tcW w:w="8870" w:type="dxa"/>
          </w:tcPr>
          <w:p w14:paraId="1779F0D9" w14:textId="3FB9F87C" w:rsidR="00C32BCC" w:rsidRPr="00740C3B" w:rsidRDefault="00C32BCC" w:rsidP="007C2EAD">
            <w:pPr>
              <w:keepNext/>
              <w:rPr>
                <w:rFonts w:ascii="Calibri" w:eastAsia="Times New Roman" w:hAnsi="Calibri" w:cs="Times New Roman"/>
                <w:i/>
                <w:color w:val="000000"/>
                <w:lang w:val="en-GB" w:eastAsia="zh-CN"/>
              </w:rPr>
            </w:pPr>
            <w:r w:rsidRPr="00740C3B">
              <w:rPr>
                <w:rFonts w:ascii="Calibri" w:eastAsia="Times New Roman" w:hAnsi="Calibri" w:cs="Times New Roman"/>
                <w:i/>
                <w:color w:val="000000"/>
                <w:lang w:val="en-GB" w:eastAsia="fr-FR"/>
              </w:rPr>
              <w:t>Source:</w:t>
            </w:r>
            <w:r>
              <w:rPr>
                <w:rFonts w:ascii="Calibri" w:eastAsia="Times New Roman" w:hAnsi="Calibri" w:cs="Times New Roman"/>
                <w:i/>
                <w:color w:val="000000"/>
                <w:lang w:val="en-GB" w:eastAsia="fr-FR"/>
              </w:rPr>
              <w:t xml:space="preserve"> authors based on IEA</w:t>
            </w:r>
            <w:r w:rsidRPr="00740C3B">
              <w:rPr>
                <w:rFonts w:ascii="Calibri" w:eastAsia="Times New Roman" w:hAnsi="Calibri" w:cs="Times New Roman"/>
                <w:i/>
                <w:color w:val="000000"/>
                <w:lang w:val="en-GB" w:eastAsia="fr-FR"/>
              </w:rPr>
              <w:t xml:space="preserve"> </w:t>
            </w:r>
            <w:r>
              <w:rPr>
                <w:rFonts w:ascii="Calibri" w:eastAsia="Times New Roman" w:hAnsi="Calibri" w:cs="Times New Roman" w:hint="eastAsia"/>
                <w:i/>
                <w:color w:val="000000"/>
                <w:lang w:val="en-GB" w:eastAsia="zh-CN"/>
              </w:rPr>
              <w:t>WEO 2000</w:t>
            </w:r>
            <w:r>
              <w:rPr>
                <w:rFonts w:ascii="Calibri" w:eastAsia="Times New Roman" w:hAnsi="Calibri" w:cs="Times New Roman"/>
                <w:i/>
                <w:color w:val="000000"/>
                <w:lang w:val="en-GB" w:eastAsia="zh-CN"/>
              </w:rPr>
              <w:t xml:space="preserve"> and IEA WEO</w:t>
            </w:r>
            <w:r>
              <w:rPr>
                <w:rFonts w:ascii="Calibri" w:eastAsia="Times New Roman" w:hAnsi="Calibri" w:cs="Times New Roman" w:hint="eastAsia"/>
                <w:i/>
                <w:color w:val="000000"/>
                <w:lang w:val="en-GB" w:eastAsia="zh-CN"/>
              </w:rPr>
              <w:t>2002</w:t>
            </w:r>
            <w:r w:rsidR="008C4355">
              <w:rPr>
                <w:rStyle w:val="FootnoteReference"/>
                <w:rFonts w:ascii="Calibri" w:eastAsia="Times New Roman" w:hAnsi="Calibri" w:cs="Times New Roman"/>
                <w:i/>
                <w:color w:val="000000"/>
                <w:lang w:val="en-GB" w:eastAsia="zh-CN"/>
              </w:rPr>
              <w:footnoteReference w:id="28"/>
            </w:r>
          </w:p>
        </w:tc>
      </w:tr>
    </w:tbl>
    <w:p w14:paraId="3EE48433" w14:textId="77777777" w:rsidR="007C2EAD" w:rsidRDefault="007C2EAD" w:rsidP="00C32BCC">
      <w:pPr>
        <w:rPr>
          <w:lang w:val="en-GB"/>
        </w:rPr>
      </w:pPr>
    </w:p>
    <w:p w14:paraId="14007C60" w14:textId="58506C59" w:rsidR="00C32BCC" w:rsidRPr="006E04DF" w:rsidRDefault="00C32BCC" w:rsidP="00C32BCC">
      <w:pPr>
        <w:rPr>
          <w:lang w:val="en-GB"/>
        </w:rPr>
      </w:pPr>
      <w:r w:rsidRPr="006E04DF">
        <w:rPr>
          <w:lang w:val="en-GB"/>
        </w:rPr>
        <w:t>One way to address these uncertaint</w:t>
      </w:r>
      <w:r>
        <w:rPr>
          <w:lang w:val="en-GB"/>
        </w:rPr>
        <w:t>ies</w:t>
      </w:r>
      <w:r w:rsidRPr="006E04DF">
        <w:rPr>
          <w:lang w:val="en-GB"/>
        </w:rPr>
        <w:t xml:space="preserve"> is to directly address the </w:t>
      </w:r>
      <w:r w:rsidRPr="006E04DF">
        <w:rPr>
          <w:i/>
          <w:lang w:val="en-GB"/>
        </w:rPr>
        <w:t>drivers</w:t>
      </w:r>
      <w:r w:rsidRPr="006E04DF">
        <w:rPr>
          <w:lang w:val="en-GB"/>
        </w:rPr>
        <w:t xml:space="preserve"> of emissions reductions.</w:t>
      </w:r>
      <w:r w:rsidR="001B3222">
        <w:rPr>
          <w:lang w:val="en-GB"/>
        </w:rPr>
        <w:t xml:space="preserve"> Emissions drivers can be conceptualized by looking at the so-called </w:t>
      </w:r>
      <w:r w:rsidRPr="006E04DF">
        <w:rPr>
          <w:lang w:val="en-GB"/>
        </w:rPr>
        <w:t xml:space="preserve">Kaya identity, which describes emissions at the outcome of four parameters: population, GDP, energy intensity of GDP, and carbon intensity of energy. </w:t>
      </w:r>
      <w:r w:rsidR="001B3222">
        <w:rPr>
          <w:lang w:val="en-GB"/>
        </w:rPr>
        <w:t>In order to give more detail, t</w:t>
      </w:r>
      <w:r w:rsidRPr="006E04DF">
        <w:rPr>
          <w:lang w:val="en-GB"/>
        </w:rPr>
        <w:t>hese can be broken down further into a “</w:t>
      </w:r>
      <w:proofErr w:type="spellStart"/>
      <w:r w:rsidRPr="006E04DF">
        <w:rPr>
          <w:lang w:val="en-GB"/>
        </w:rPr>
        <w:t>sectoral</w:t>
      </w:r>
      <w:proofErr w:type="spellEnd"/>
      <w:r w:rsidRPr="006E04DF">
        <w:rPr>
          <w:lang w:val="en-GB"/>
        </w:rPr>
        <w:t xml:space="preserve"> Kaya identity”, which describes</w:t>
      </w:r>
      <w:r w:rsidR="007C2EAD">
        <w:rPr>
          <w:lang w:val="en-GB"/>
        </w:rPr>
        <w:t xml:space="preserve"> </w:t>
      </w:r>
      <w:proofErr w:type="spellStart"/>
      <w:r w:rsidR="007C2EAD">
        <w:rPr>
          <w:lang w:val="en-GB"/>
        </w:rPr>
        <w:t>sectoral</w:t>
      </w:r>
      <w:proofErr w:type="spellEnd"/>
      <w:r w:rsidRPr="006E04DF">
        <w:rPr>
          <w:lang w:val="en-GB"/>
        </w:rPr>
        <w:t xml:space="preserve"> emissions as the product of four parameters: </w:t>
      </w:r>
      <w:proofErr w:type="spellStart"/>
      <w:r w:rsidR="001B3222">
        <w:rPr>
          <w:lang w:val="en-GB"/>
        </w:rPr>
        <w:t>sectoral</w:t>
      </w:r>
      <w:proofErr w:type="spellEnd"/>
      <w:r w:rsidR="001B3222">
        <w:rPr>
          <w:lang w:val="en-GB"/>
        </w:rPr>
        <w:t xml:space="preserve"> activity level, </w:t>
      </w:r>
      <w:proofErr w:type="spellStart"/>
      <w:r w:rsidR="001B3222">
        <w:rPr>
          <w:lang w:val="en-GB"/>
        </w:rPr>
        <w:t>sectoral</w:t>
      </w:r>
      <w:proofErr w:type="spellEnd"/>
      <w:r w:rsidR="001B3222">
        <w:rPr>
          <w:lang w:val="en-GB"/>
        </w:rPr>
        <w:t xml:space="preserve"> structure</w:t>
      </w:r>
      <w:r w:rsidRPr="006E04DF">
        <w:rPr>
          <w:lang w:val="en-GB"/>
        </w:rPr>
        <w:t xml:space="preserve">, energy intensity, and carbon intensity of energy consumption. Table 1 gives an example of the Kaya identity at both macroeconomic and </w:t>
      </w:r>
      <w:proofErr w:type="spellStart"/>
      <w:r w:rsidRPr="006E04DF">
        <w:rPr>
          <w:lang w:val="en-GB"/>
        </w:rPr>
        <w:t>sectoral</w:t>
      </w:r>
      <w:proofErr w:type="spellEnd"/>
      <w:r w:rsidRPr="006E04DF">
        <w:rPr>
          <w:lang w:val="en-GB"/>
        </w:rPr>
        <w:t xml:space="preserve"> level, taking the industrial</w:t>
      </w:r>
      <w:r>
        <w:rPr>
          <w:lang w:val="en-GB"/>
        </w:rPr>
        <w:t xml:space="preserve"> and transport</w:t>
      </w:r>
      <w:r w:rsidRPr="006E04DF">
        <w:rPr>
          <w:lang w:val="en-GB"/>
        </w:rPr>
        <w:t xml:space="preserve"> sector</w:t>
      </w:r>
      <w:r>
        <w:rPr>
          <w:lang w:val="en-GB"/>
        </w:rPr>
        <w:t>s</w:t>
      </w:r>
      <w:r w:rsidRPr="006E04DF">
        <w:rPr>
          <w:lang w:val="en-GB"/>
        </w:rPr>
        <w:t xml:space="preserve"> as the</w:t>
      </w:r>
      <w:r w:rsidR="001B3222">
        <w:rPr>
          <w:lang w:val="en-GB"/>
        </w:rPr>
        <w:t xml:space="preserve"> </w:t>
      </w:r>
      <w:proofErr w:type="spellStart"/>
      <w:r w:rsidR="001B3222">
        <w:rPr>
          <w:lang w:val="en-GB"/>
        </w:rPr>
        <w:t>sectoral</w:t>
      </w:r>
      <w:proofErr w:type="spellEnd"/>
      <w:r w:rsidRPr="006E04DF">
        <w:rPr>
          <w:lang w:val="en-GB"/>
        </w:rPr>
        <w:t xml:space="preserve"> example</w:t>
      </w:r>
      <w:r>
        <w:rPr>
          <w:lang w:val="en-GB"/>
        </w:rPr>
        <w:t>s</w:t>
      </w:r>
      <w:r w:rsidRPr="006E04DF">
        <w:rPr>
          <w:lang w:val="en-GB"/>
        </w:rPr>
        <w:t>.</w:t>
      </w:r>
      <w:r w:rsidR="007C2EAD">
        <w:rPr>
          <w:lang w:val="en-GB"/>
        </w:rPr>
        <w:t xml:space="preserve"> The different elements of the </w:t>
      </w:r>
      <w:proofErr w:type="spellStart"/>
      <w:r w:rsidR="007C2EAD">
        <w:rPr>
          <w:lang w:val="en-GB"/>
        </w:rPr>
        <w:t>sectoral</w:t>
      </w:r>
      <w:proofErr w:type="spellEnd"/>
      <w:r w:rsidR="007C2EAD">
        <w:rPr>
          <w:lang w:val="en-GB"/>
        </w:rPr>
        <w:t xml:space="preserve"> Kaya identity can be thought of as potential mitigation levers, requiring different kinds of strateg</w:t>
      </w:r>
      <w:r w:rsidR="00070D05">
        <w:rPr>
          <w:lang w:val="en-GB"/>
        </w:rPr>
        <w:t>ies and entailing different kinds of opportunities and uncertainties on different timelines</w:t>
      </w:r>
      <w:r w:rsidR="007C2EAD">
        <w:rPr>
          <w:lang w:val="en-GB"/>
        </w:rPr>
        <w:t xml:space="preserve">. The table also gives an example of a mitigation strategy related to each of these ‘levers’.  </w:t>
      </w:r>
      <w:r w:rsidRPr="006E04DF">
        <w:rPr>
          <w:lang w:val="en-GB"/>
        </w:rPr>
        <w:t xml:space="preserve"> </w:t>
      </w:r>
    </w:p>
    <w:p w14:paraId="71B02053" w14:textId="77777777" w:rsidR="00C32BCC" w:rsidRPr="006E04DF" w:rsidRDefault="00C32BCC" w:rsidP="00C32BCC">
      <w:pPr>
        <w:rPr>
          <w:b/>
          <w:lang w:val="en-GB"/>
        </w:rPr>
        <w:sectPr w:rsidR="00C32BCC" w:rsidRPr="006E04D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0CD50BDD" w14:textId="77777777" w:rsidR="00C32BCC" w:rsidRPr="006E04DF" w:rsidRDefault="00C32BCC" w:rsidP="00C32BCC">
      <w:pPr>
        <w:pStyle w:val="Caption"/>
        <w:keepNext/>
        <w:rPr>
          <w:lang w:val="en-GB"/>
        </w:rPr>
      </w:pPr>
      <w:bookmarkStart w:id="19" w:name="_Toc389213006"/>
      <w:r w:rsidRPr="006E04DF">
        <w:rPr>
          <w:lang w:val="en-GB"/>
        </w:rPr>
        <w:lastRenderedPageBreak/>
        <w:t xml:space="preserve">Table </w:t>
      </w:r>
      <w:r w:rsidRPr="006E04DF">
        <w:rPr>
          <w:lang w:val="en-GB"/>
        </w:rPr>
        <w:fldChar w:fldCharType="begin"/>
      </w:r>
      <w:r w:rsidRPr="006E04DF">
        <w:rPr>
          <w:lang w:val="en-GB"/>
        </w:rPr>
        <w:instrText xml:space="preserve"> SEQ Table \* ARABIC </w:instrText>
      </w:r>
      <w:r w:rsidRPr="006E04DF">
        <w:rPr>
          <w:lang w:val="en-GB"/>
        </w:rPr>
        <w:fldChar w:fldCharType="separate"/>
      </w:r>
      <w:r w:rsidR="008C4355">
        <w:rPr>
          <w:noProof/>
          <w:lang w:val="en-GB"/>
        </w:rPr>
        <w:t>1</w:t>
      </w:r>
      <w:r w:rsidRPr="006E04DF">
        <w:rPr>
          <w:lang w:val="en-GB"/>
        </w:rPr>
        <w:fldChar w:fldCharType="end"/>
      </w:r>
      <w:r w:rsidRPr="006E04DF">
        <w:rPr>
          <w:lang w:val="en-GB"/>
        </w:rPr>
        <w:t xml:space="preserve">: </w:t>
      </w:r>
      <w:r w:rsidRPr="006E04DF">
        <w:rPr>
          <w:noProof/>
          <w:lang w:val="en-GB"/>
        </w:rPr>
        <w:t xml:space="preserve">Macroeconomic and sectoral Kaya identity </w:t>
      </w:r>
      <w:r>
        <w:rPr>
          <w:noProof/>
          <w:lang w:val="en-GB"/>
        </w:rPr>
        <w:t>and example mitigation strategies</w:t>
      </w:r>
      <w:bookmarkEnd w:id="19"/>
      <w:r>
        <w:rPr>
          <w:noProof/>
          <w:lang w:val="en-GB"/>
        </w:rPr>
        <w:t xml:space="preserve"> </w:t>
      </w:r>
      <w:r w:rsidRPr="006E04DF">
        <w:rPr>
          <w:b w:val="0"/>
          <w:lang w:val="en-GB"/>
        </w:rPr>
        <w:t xml:space="preserve"> </w:t>
      </w:r>
    </w:p>
    <w:tbl>
      <w:tblPr>
        <w:tblStyle w:val="TableGrid"/>
        <w:tblW w:w="0" w:type="auto"/>
        <w:tblLook w:val="04A0" w:firstRow="1" w:lastRow="0" w:firstColumn="1" w:lastColumn="0" w:noHBand="0" w:noVBand="1"/>
      </w:tblPr>
      <w:tblGrid>
        <w:gridCol w:w="1354"/>
        <w:gridCol w:w="2490"/>
        <w:gridCol w:w="2980"/>
        <w:gridCol w:w="2418"/>
      </w:tblGrid>
      <w:tr w:rsidR="00070D05" w:rsidRPr="006E04DF" w14:paraId="7E22163B" w14:textId="77777777" w:rsidTr="008A4E43">
        <w:trPr>
          <w:trHeight w:val="558"/>
        </w:trPr>
        <w:tc>
          <w:tcPr>
            <w:tcW w:w="0" w:type="auto"/>
          </w:tcPr>
          <w:p w14:paraId="6434CC90" w14:textId="77777777" w:rsidR="00C32BCC" w:rsidRPr="006E04DF" w:rsidRDefault="00C32BCC" w:rsidP="008A4E43">
            <w:pPr>
              <w:rPr>
                <w:b/>
                <w:lang w:val="en-GB"/>
              </w:rPr>
            </w:pPr>
            <w:r w:rsidRPr="006E04DF">
              <w:rPr>
                <w:b/>
                <w:lang w:val="en-GB"/>
              </w:rPr>
              <w:t>Kaya Identity Parameter</w:t>
            </w:r>
          </w:p>
        </w:tc>
        <w:tc>
          <w:tcPr>
            <w:tcW w:w="0" w:type="auto"/>
          </w:tcPr>
          <w:p w14:paraId="5898A1C1" w14:textId="77777777" w:rsidR="00C32BCC" w:rsidRPr="006E04DF" w:rsidRDefault="00C32BCC" w:rsidP="008A4E43">
            <w:pPr>
              <w:rPr>
                <w:b/>
                <w:lang w:val="en-GB"/>
              </w:rPr>
            </w:pPr>
            <w:r w:rsidRPr="006E04DF">
              <w:rPr>
                <w:b/>
                <w:lang w:val="en-GB"/>
              </w:rPr>
              <w:t xml:space="preserve">Macroeconomic level </w:t>
            </w:r>
          </w:p>
        </w:tc>
        <w:tc>
          <w:tcPr>
            <w:tcW w:w="0" w:type="auto"/>
          </w:tcPr>
          <w:p w14:paraId="72824319" w14:textId="77777777" w:rsidR="00C32BCC" w:rsidRPr="006E04DF" w:rsidRDefault="00C32BCC" w:rsidP="008A4E43">
            <w:pPr>
              <w:rPr>
                <w:b/>
                <w:lang w:val="en-GB"/>
              </w:rPr>
            </w:pPr>
            <w:proofErr w:type="spellStart"/>
            <w:r w:rsidRPr="006E04DF">
              <w:rPr>
                <w:b/>
                <w:lang w:val="en-GB"/>
              </w:rPr>
              <w:t>Sectoral</w:t>
            </w:r>
            <w:proofErr w:type="spellEnd"/>
            <w:r w:rsidRPr="006E04DF">
              <w:rPr>
                <w:b/>
                <w:lang w:val="en-GB"/>
              </w:rPr>
              <w:t xml:space="preserve"> level (industry)</w:t>
            </w:r>
          </w:p>
        </w:tc>
        <w:tc>
          <w:tcPr>
            <w:tcW w:w="0" w:type="auto"/>
          </w:tcPr>
          <w:p w14:paraId="0A551C0F" w14:textId="77777777" w:rsidR="00C32BCC" w:rsidRPr="006E04DF" w:rsidRDefault="00C32BCC" w:rsidP="008A4E43">
            <w:pPr>
              <w:rPr>
                <w:b/>
                <w:lang w:val="en-GB"/>
              </w:rPr>
            </w:pPr>
            <w:proofErr w:type="spellStart"/>
            <w:r w:rsidRPr="006E04DF">
              <w:rPr>
                <w:b/>
                <w:lang w:val="en-GB"/>
              </w:rPr>
              <w:t>Sectoral</w:t>
            </w:r>
            <w:proofErr w:type="spellEnd"/>
            <w:r w:rsidRPr="006E04DF">
              <w:rPr>
                <w:b/>
                <w:lang w:val="en-GB"/>
              </w:rPr>
              <w:t xml:space="preserve"> level (transport)</w:t>
            </w:r>
          </w:p>
        </w:tc>
      </w:tr>
      <w:tr w:rsidR="00070D05" w:rsidRPr="006E04DF" w14:paraId="13871F9A" w14:textId="77777777" w:rsidTr="008A4E43">
        <w:trPr>
          <w:trHeight w:val="287"/>
        </w:trPr>
        <w:tc>
          <w:tcPr>
            <w:tcW w:w="0" w:type="auto"/>
          </w:tcPr>
          <w:p w14:paraId="7CBBCAC5" w14:textId="77777777" w:rsidR="00C32BCC" w:rsidRPr="006E04DF" w:rsidRDefault="00C32BCC" w:rsidP="008A4E43">
            <w:pPr>
              <w:rPr>
                <w:lang w:val="en-GB"/>
              </w:rPr>
            </w:pPr>
            <w:r w:rsidRPr="006E04DF">
              <w:rPr>
                <w:lang w:val="en-GB"/>
              </w:rPr>
              <w:t>Population or activity level</w:t>
            </w:r>
          </w:p>
        </w:tc>
        <w:tc>
          <w:tcPr>
            <w:tcW w:w="0" w:type="auto"/>
          </w:tcPr>
          <w:p w14:paraId="4B5ED2A3" w14:textId="77777777" w:rsidR="00C32BCC" w:rsidRPr="006E04DF" w:rsidRDefault="00C32BCC" w:rsidP="008A4E43">
            <w:pPr>
              <w:rPr>
                <w:lang w:val="en-GB"/>
              </w:rPr>
            </w:pPr>
            <w:r w:rsidRPr="006E04DF">
              <w:rPr>
                <w:lang w:val="en-GB"/>
              </w:rPr>
              <w:t>Population</w:t>
            </w:r>
          </w:p>
          <w:p w14:paraId="0FC3A6C9" w14:textId="77777777" w:rsidR="00C32BCC" w:rsidRPr="006E04DF" w:rsidRDefault="00C32BCC" w:rsidP="008A4E43">
            <w:pPr>
              <w:pStyle w:val="ListParagraph"/>
              <w:numPr>
                <w:ilvl w:val="0"/>
                <w:numId w:val="7"/>
              </w:numPr>
              <w:rPr>
                <w:lang w:val="en-GB"/>
              </w:rPr>
            </w:pPr>
            <w:r w:rsidRPr="006E04DF">
              <w:rPr>
                <w:lang w:val="en-GB"/>
              </w:rPr>
              <w:t xml:space="preserve">Population size </w:t>
            </w:r>
          </w:p>
          <w:p w14:paraId="5FE23240" w14:textId="77777777" w:rsidR="00C32BCC" w:rsidRPr="006E04DF" w:rsidRDefault="00C32BCC" w:rsidP="008A4E43">
            <w:pPr>
              <w:pStyle w:val="ListParagraph"/>
              <w:numPr>
                <w:ilvl w:val="0"/>
                <w:numId w:val="7"/>
              </w:numPr>
              <w:rPr>
                <w:lang w:val="en-GB"/>
              </w:rPr>
            </w:pPr>
            <w:r w:rsidRPr="006E04DF">
              <w:rPr>
                <w:lang w:val="en-GB"/>
              </w:rPr>
              <w:t>Growth rate</w:t>
            </w:r>
          </w:p>
          <w:p w14:paraId="03AEBB2A" w14:textId="77777777" w:rsidR="00C32BCC" w:rsidRPr="006E04DF" w:rsidRDefault="00C32BCC" w:rsidP="008A4E43">
            <w:pPr>
              <w:pStyle w:val="ListParagraph"/>
              <w:numPr>
                <w:ilvl w:val="0"/>
                <w:numId w:val="7"/>
              </w:numPr>
              <w:rPr>
                <w:lang w:val="en-GB"/>
              </w:rPr>
            </w:pPr>
            <w:r w:rsidRPr="006E04DF">
              <w:rPr>
                <w:lang w:val="en-GB"/>
              </w:rPr>
              <w:t>Demography</w:t>
            </w:r>
          </w:p>
        </w:tc>
        <w:tc>
          <w:tcPr>
            <w:tcW w:w="0" w:type="auto"/>
          </w:tcPr>
          <w:p w14:paraId="614EDBAD" w14:textId="19B75A83" w:rsidR="00C32BCC" w:rsidRPr="006E04DF" w:rsidRDefault="00C12405" w:rsidP="008A4E43">
            <w:pPr>
              <w:rPr>
                <w:lang w:val="en-GB"/>
              </w:rPr>
            </w:pPr>
            <w:r>
              <w:rPr>
                <w:lang w:val="en-GB"/>
              </w:rPr>
              <w:t>Level of industrial demand</w:t>
            </w:r>
          </w:p>
          <w:p w14:paraId="294E5623" w14:textId="1A0F20A9" w:rsidR="00C32BCC" w:rsidRPr="006E04DF" w:rsidRDefault="00C32BCC" w:rsidP="008A4E43">
            <w:pPr>
              <w:rPr>
                <w:i/>
                <w:lang w:val="en-GB"/>
              </w:rPr>
            </w:pPr>
            <w:r w:rsidRPr="006E04DF">
              <w:rPr>
                <w:i/>
                <w:lang w:val="en-GB"/>
              </w:rPr>
              <w:t>Example mitigation strategy:</w:t>
            </w:r>
            <w:r w:rsidR="00C12405">
              <w:rPr>
                <w:i/>
                <w:lang w:val="en-GB"/>
              </w:rPr>
              <w:t xml:space="preserve"> demand reduction through</w:t>
            </w:r>
            <w:r w:rsidRPr="006E04DF">
              <w:rPr>
                <w:i/>
                <w:lang w:val="en-GB"/>
              </w:rPr>
              <w:t xml:space="preserve"> dematerialization, recycling, reuse</w:t>
            </w:r>
          </w:p>
        </w:tc>
        <w:tc>
          <w:tcPr>
            <w:tcW w:w="0" w:type="auto"/>
          </w:tcPr>
          <w:p w14:paraId="4B804941" w14:textId="78F2E0F3" w:rsidR="00C32BCC" w:rsidRPr="006E04DF" w:rsidRDefault="00C12405" w:rsidP="008A4E43">
            <w:pPr>
              <w:rPr>
                <w:i/>
                <w:lang w:val="en-GB"/>
              </w:rPr>
            </w:pPr>
            <w:r>
              <w:rPr>
                <w:lang w:val="en-GB"/>
              </w:rPr>
              <w:t xml:space="preserve">Level of transport demand, </w:t>
            </w:r>
            <w:r w:rsidR="00C32BCC" w:rsidRPr="006E04DF">
              <w:rPr>
                <w:i/>
                <w:lang w:val="en-GB"/>
              </w:rPr>
              <w:t>Example mitigation strategy:</w:t>
            </w:r>
            <w:r w:rsidR="00070D05">
              <w:rPr>
                <w:i/>
                <w:lang w:val="en-GB"/>
              </w:rPr>
              <w:t xml:space="preserve"> demand reduction through</w:t>
            </w:r>
            <w:r w:rsidR="00C32BCC" w:rsidRPr="006E04DF">
              <w:rPr>
                <w:i/>
                <w:lang w:val="en-GB"/>
              </w:rPr>
              <w:t xml:space="preserve"> greater urban density </w:t>
            </w:r>
          </w:p>
        </w:tc>
      </w:tr>
      <w:tr w:rsidR="00070D05" w:rsidRPr="006E04DF" w14:paraId="749AC6D5" w14:textId="77777777" w:rsidTr="008A4E43">
        <w:trPr>
          <w:trHeight w:val="287"/>
        </w:trPr>
        <w:tc>
          <w:tcPr>
            <w:tcW w:w="0" w:type="auto"/>
          </w:tcPr>
          <w:p w14:paraId="271DCDD1" w14:textId="77777777" w:rsidR="00BB053F" w:rsidRDefault="00BB053F" w:rsidP="00BB053F">
            <w:pPr>
              <w:rPr>
                <w:lang w:val="en-GB"/>
              </w:rPr>
            </w:pPr>
            <w:r>
              <w:rPr>
                <w:lang w:val="en-GB"/>
              </w:rPr>
              <w:t>A</w:t>
            </w:r>
            <w:r w:rsidR="00C32BCC" w:rsidRPr="006E04DF">
              <w:rPr>
                <w:lang w:val="en-GB"/>
              </w:rPr>
              <w:t>ctivity</w:t>
            </w:r>
          </w:p>
          <w:p w14:paraId="41D41A62" w14:textId="3D6D9063" w:rsidR="00C32BCC" w:rsidRPr="006E04DF" w:rsidRDefault="00C32BCC" w:rsidP="00BB053F">
            <w:pPr>
              <w:rPr>
                <w:lang w:val="en-GB"/>
              </w:rPr>
            </w:pPr>
            <w:r w:rsidRPr="006E04DF">
              <w:rPr>
                <w:lang w:val="en-GB"/>
              </w:rPr>
              <w:t xml:space="preserve">structure </w:t>
            </w:r>
          </w:p>
        </w:tc>
        <w:tc>
          <w:tcPr>
            <w:tcW w:w="0" w:type="auto"/>
          </w:tcPr>
          <w:p w14:paraId="0104E75D" w14:textId="77777777" w:rsidR="00C32BCC" w:rsidRPr="006E04DF" w:rsidRDefault="00C32BCC" w:rsidP="008A4E43">
            <w:pPr>
              <w:rPr>
                <w:lang w:val="en-GB"/>
              </w:rPr>
            </w:pPr>
            <w:r w:rsidRPr="006E04DF">
              <w:rPr>
                <w:lang w:val="en-GB"/>
              </w:rPr>
              <w:t>GDP</w:t>
            </w:r>
          </w:p>
          <w:p w14:paraId="342C9262" w14:textId="77777777" w:rsidR="00C32BCC" w:rsidRPr="006E04DF" w:rsidRDefault="00C32BCC" w:rsidP="008A4E43">
            <w:pPr>
              <w:pStyle w:val="ListParagraph"/>
              <w:numPr>
                <w:ilvl w:val="0"/>
                <w:numId w:val="8"/>
              </w:numPr>
              <w:rPr>
                <w:lang w:val="en-GB"/>
              </w:rPr>
            </w:pPr>
            <w:r w:rsidRPr="006E04DF">
              <w:rPr>
                <w:lang w:val="en-GB"/>
              </w:rPr>
              <w:t xml:space="preserve">GDP level </w:t>
            </w:r>
          </w:p>
          <w:p w14:paraId="2CF88AE7" w14:textId="77777777" w:rsidR="00C32BCC" w:rsidRPr="006E04DF" w:rsidRDefault="00C32BCC" w:rsidP="008A4E43">
            <w:pPr>
              <w:pStyle w:val="ListParagraph"/>
              <w:numPr>
                <w:ilvl w:val="0"/>
                <w:numId w:val="8"/>
              </w:numPr>
              <w:rPr>
                <w:lang w:val="en-GB"/>
              </w:rPr>
            </w:pPr>
            <w:r w:rsidRPr="006E04DF">
              <w:rPr>
                <w:lang w:val="en-GB"/>
              </w:rPr>
              <w:t>GDP growth rate</w:t>
            </w:r>
          </w:p>
          <w:p w14:paraId="55F581F7" w14:textId="77777777" w:rsidR="00C32BCC" w:rsidRPr="006E04DF" w:rsidRDefault="00C32BCC" w:rsidP="008A4E43">
            <w:pPr>
              <w:pStyle w:val="ListParagraph"/>
              <w:numPr>
                <w:ilvl w:val="0"/>
                <w:numId w:val="8"/>
              </w:numPr>
              <w:rPr>
                <w:lang w:val="en-GB"/>
              </w:rPr>
            </w:pPr>
            <w:r w:rsidRPr="006E04DF">
              <w:rPr>
                <w:lang w:val="en-GB"/>
              </w:rPr>
              <w:t xml:space="preserve">GDP structure </w:t>
            </w:r>
          </w:p>
        </w:tc>
        <w:tc>
          <w:tcPr>
            <w:tcW w:w="0" w:type="auto"/>
          </w:tcPr>
          <w:p w14:paraId="4687D236" w14:textId="774123EE" w:rsidR="00C32BCC" w:rsidRPr="006E04DF" w:rsidRDefault="00C12405" w:rsidP="008A4E43">
            <w:pPr>
              <w:rPr>
                <w:lang w:val="en-GB"/>
              </w:rPr>
            </w:pPr>
            <w:r>
              <w:rPr>
                <w:lang w:val="en-GB"/>
              </w:rPr>
              <w:t>Structure</w:t>
            </w:r>
            <w:r w:rsidR="00070D05">
              <w:rPr>
                <w:lang w:val="en-GB"/>
              </w:rPr>
              <w:t xml:space="preserve"> of i</w:t>
            </w:r>
            <w:r w:rsidR="00C32BCC" w:rsidRPr="006E04DF">
              <w:rPr>
                <w:lang w:val="en-GB"/>
              </w:rPr>
              <w:t>ndustrial value added</w:t>
            </w:r>
          </w:p>
          <w:p w14:paraId="63982BF2" w14:textId="0A818EB7" w:rsidR="00C32BCC" w:rsidRPr="006E04DF" w:rsidRDefault="00C32BCC" w:rsidP="00C12405">
            <w:pPr>
              <w:rPr>
                <w:i/>
                <w:lang w:val="en-GB"/>
              </w:rPr>
            </w:pPr>
            <w:r w:rsidRPr="006E04DF">
              <w:rPr>
                <w:i/>
                <w:lang w:val="en-GB"/>
              </w:rPr>
              <w:t>Example mitigation strategy: shift to less energy intensive industrial sectors</w:t>
            </w:r>
            <w:r w:rsidR="00C12405">
              <w:rPr>
                <w:i/>
                <w:lang w:val="en-GB"/>
              </w:rPr>
              <w:t xml:space="preserve"> and products</w:t>
            </w:r>
            <w:r w:rsidRPr="006E04DF">
              <w:rPr>
                <w:i/>
                <w:lang w:val="en-GB"/>
              </w:rPr>
              <w:t xml:space="preserve"> </w:t>
            </w:r>
          </w:p>
        </w:tc>
        <w:tc>
          <w:tcPr>
            <w:tcW w:w="0" w:type="auto"/>
          </w:tcPr>
          <w:p w14:paraId="5FDAC3F2" w14:textId="74CC0683" w:rsidR="00C32BCC" w:rsidRPr="000F1C06" w:rsidRDefault="00070D05" w:rsidP="00BA0EDC">
            <w:pPr>
              <w:keepNext/>
              <w:keepLines/>
              <w:spacing w:before="200" w:line="276" w:lineRule="auto"/>
              <w:outlineLvl w:val="5"/>
              <w:rPr>
                <w:lang w:val="en-GB"/>
              </w:rPr>
            </w:pPr>
            <w:r w:rsidRPr="000F1C06">
              <w:rPr>
                <w:lang w:val="en-GB"/>
              </w:rPr>
              <w:t>Structure of transport services, i.e.</w:t>
            </w:r>
            <w:r w:rsidR="00902CCD" w:rsidRPr="000F1C06">
              <w:rPr>
                <w:lang w:val="en-GB"/>
              </w:rPr>
              <w:t xml:space="preserve"> </w:t>
            </w:r>
            <w:r w:rsidRPr="000F1C06">
              <w:rPr>
                <w:lang w:val="en-GB"/>
              </w:rPr>
              <w:t>t</w:t>
            </w:r>
            <w:r w:rsidR="00902CCD" w:rsidRPr="000F1C06">
              <w:rPr>
                <w:lang w:val="en-GB"/>
              </w:rPr>
              <w:t>r</w:t>
            </w:r>
            <w:r w:rsidR="00C32BCC" w:rsidRPr="000F1C06">
              <w:rPr>
                <w:lang w:val="en-GB"/>
              </w:rPr>
              <w:t xml:space="preserve">ansport mode </w:t>
            </w:r>
          </w:p>
          <w:p w14:paraId="669BFD5E" w14:textId="77777777" w:rsidR="00C32BCC" w:rsidRPr="006E04DF" w:rsidRDefault="00C32BCC" w:rsidP="008A4E43">
            <w:pPr>
              <w:rPr>
                <w:i/>
                <w:lang w:val="en-GB"/>
              </w:rPr>
            </w:pPr>
            <w:r w:rsidRPr="006E04DF">
              <w:rPr>
                <w:i/>
                <w:lang w:val="en-GB"/>
              </w:rPr>
              <w:t xml:space="preserve">Example mitigation strategy: modal shift from road to rail </w:t>
            </w:r>
          </w:p>
          <w:p w14:paraId="0953F2EB" w14:textId="77777777" w:rsidR="00C32BCC" w:rsidRPr="006E04DF" w:rsidRDefault="00C32BCC" w:rsidP="008A4E43">
            <w:pPr>
              <w:pStyle w:val="ListParagraph"/>
              <w:rPr>
                <w:lang w:val="en-GB"/>
              </w:rPr>
            </w:pPr>
          </w:p>
        </w:tc>
      </w:tr>
      <w:tr w:rsidR="00070D05" w:rsidRPr="006E04DF" w14:paraId="39C50AAE" w14:textId="77777777" w:rsidTr="008A4E43">
        <w:trPr>
          <w:trHeight w:val="558"/>
        </w:trPr>
        <w:tc>
          <w:tcPr>
            <w:tcW w:w="0" w:type="auto"/>
          </w:tcPr>
          <w:p w14:paraId="70CAD2AF" w14:textId="77777777" w:rsidR="00C32BCC" w:rsidRPr="006E04DF" w:rsidRDefault="00C32BCC" w:rsidP="008A4E43">
            <w:pPr>
              <w:rPr>
                <w:lang w:val="en-GB"/>
              </w:rPr>
            </w:pPr>
            <w:r w:rsidRPr="006E04DF">
              <w:rPr>
                <w:lang w:val="en-GB"/>
              </w:rPr>
              <w:t xml:space="preserve">Energy intensity </w:t>
            </w:r>
          </w:p>
        </w:tc>
        <w:tc>
          <w:tcPr>
            <w:tcW w:w="0" w:type="auto"/>
          </w:tcPr>
          <w:p w14:paraId="300186C6" w14:textId="77777777" w:rsidR="00C32BCC" w:rsidRPr="006E04DF" w:rsidRDefault="00C32BCC" w:rsidP="008A4E43">
            <w:pPr>
              <w:rPr>
                <w:lang w:val="en-GB"/>
              </w:rPr>
            </w:pPr>
            <w:r w:rsidRPr="006E04DF">
              <w:rPr>
                <w:lang w:val="en-GB"/>
              </w:rPr>
              <w:t>Energy intensity of GDP</w:t>
            </w:r>
          </w:p>
          <w:p w14:paraId="459C35DE" w14:textId="77777777" w:rsidR="00C32BCC" w:rsidRPr="006E04DF" w:rsidRDefault="00C32BCC" w:rsidP="008A4E43">
            <w:pPr>
              <w:pStyle w:val="ListParagraph"/>
              <w:numPr>
                <w:ilvl w:val="0"/>
                <w:numId w:val="9"/>
              </w:numPr>
              <w:rPr>
                <w:lang w:val="en-GB"/>
              </w:rPr>
            </w:pPr>
            <w:r w:rsidRPr="006E04DF">
              <w:rPr>
                <w:lang w:val="en-GB"/>
              </w:rPr>
              <w:t xml:space="preserve">Technology </w:t>
            </w:r>
          </w:p>
          <w:p w14:paraId="14CB5A9F" w14:textId="77777777" w:rsidR="00C32BCC" w:rsidRPr="006E04DF" w:rsidRDefault="00C32BCC" w:rsidP="008A4E43">
            <w:pPr>
              <w:pStyle w:val="ListParagraph"/>
              <w:numPr>
                <w:ilvl w:val="0"/>
                <w:numId w:val="9"/>
              </w:numPr>
              <w:rPr>
                <w:lang w:val="en-GB"/>
              </w:rPr>
            </w:pPr>
            <w:r w:rsidRPr="006E04DF">
              <w:rPr>
                <w:lang w:val="en-GB"/>
              </w:rPr>
              <w:t xml:space="preserve">GDP structure  </w:t>
            </w:r>
          </w:p>
        </w:tc>
        <w:tc>
          <w:tcPr>
            <w:tcW w:w="0" w:type="auto"/>
          </w:tcPr>
          <w:p w14:paraId="5860387D" w14:textId="77777777" w:rsidR="00C32BCC" w:rsidRPr="006E04DF" w:rsidRDefault="00C32BCC" w:rsidP="008A4E43">
            <w:pPr>
              <w:rPr>
                <w:lang w:val="en-GB"/>
              </w:rPr>
            </w:pPr>
            <w:r w:rsidRPr="006E04DF">
              <w:rPr>
                <w:lang w:val="en-GB"/>
              </w:rPr>
              <w:t xml:space="preserve">Energy intensity </w:t>
            </w:r>
          </w:p>
          <w:p w14:paraId="7E63EC1F" w14:textId="77777777" w:rsidR="00C32BCC" w:rsidRPr="006E04DF" w:rsidRDefault="00C32BCC" w:rsidP="008A4E43">
            <w:pPr>
              <w:rPr>
                <w:lang w:val="en-GB"/>
              </w:rPr>
            </w:pPr>
            <w:r>
              <w:rPr>
                <w:i/>
                <w:lang w:val="en-GB"/>
              </w:rPr>
              <w:t xml:space="preserve">Example mitigation strategy: improve the technical energy efficiency of industrial processes </w:t>
            </w:r>
            <w:r w:rsidRPr="006E04DF">
              <w:rPr>
                <w:lang w:val="en-GB"/>
              </w:rPr>
              <w:t xml:space="preserve"> </w:t>
            </w:r>
          </w:p>
        </w:tc>
        <w:tc>
          <w:tcPr>
            <w:tcW w:w="0" w:type="auto"/>
          </w:tcPr>
          <w:p w14:paraId="5A6663DC" w14:textId="77777777" w:rsidR="00C32BCC" w:rsidRDefault="00C32BCC" w:rsidP="008A4E43">
            <w:pPr>
              <w:rPr>
                <w:lang w:val="en-GB"/>
              </w:rPr>
            </w:pPr>
            <w:r w:rsidRPr="006E04DF">
              <w:rPr>
                <w:lang w:val="en-GB"/>
              </w:rPr>
              <w:t xml:space="preserve">Technological fuel efficiency </w:t>
            </w:r>
          </w:p>
          <w:p w14:paraId="2511DFD7" w14:textId="77777777" w:rsidR="00C32BCC" w:rsidRPr="006E04DF" w:rsidRDefault="00C32BCC" w:rsidP="008A4E43">
            <w:pPr>
              <w:rPr>
                <w:lang w:val="en-GB"/>
              </w:rPr>
            </w:pPr>
            <w:r>
              <w:rPr>
                <w:i/>
                <w:lang w:val="en-GB"/>
              </w:rPr>
              <w:t xml:space="preserve">Example mitigation strategy: fuel economy standards for vehicles </w:t>
            </w:r>
            <w:r w:rsidRPr="006E04DF">
              <w:rPr>
                <w:lang w:val="en-GB"/>
              </w:rPr>
              <w:t xml:space="preserve"> </w:t>
            </w:r>
          </w:p>
        </w:tc>
      </w:tr>
      <w:tr w:rsidR="00070D05" w:rsidRPr="006E04DF" w14:paraId="19142652" w14:textId="77777777" w:rsidTr="008A4E43">
        <w:trPr>
          <w:trHeight w:val="287"/>
        </w:trPr>
        <w:tc>
          <w:tcPr>
            <w:tcW w:w="0" w:type="auto"/>
          </w:tcPr>
          <w:p w14:paraId="57378B4D" w14:textId="77777777" w:rsidR="00C32BCC" w:rsidRPr="006E04DF" w:rsidRDefault="00C32BCC" w:rsidP="008A4E43">
            <w:pPr>
              <w:rPr>
                <w:lang w:val="en-GB"/>
              </w:rPr>
            </w:pPr>
            <w:r w:rsidRPr="006E04DF">
              <w:rPr>
                <w:lang w:val="en-GB"/>
              </w:rPr>
              <w:t xml:space="preserve">Carbon intensity </w:t>
            </w:r>
          </w:p>
        </w:tc>
        <w:tc>
          <w:tcPr>
            <w:tcW w:w="0" w:type="auto"/>
          </w:tcPr>
          <w:p w14:paraId="08E7FDDD" w14:textId="77777777" w:rsidR="00C32BCC" w:rsidRPr="006E04DF" w:rsidRDefault="00C32BCC" w:rsidP="008A4E43">
            <w:pPr>
              <w:rPr>
                <w:lang w:val="en-GB"/>
              </w:rPr>
            </w:pPr>
            <w:r w:rsidRPr="006E04DF">
              <w:rPr>
                <w:lang w:val="en-GB"/>
              </w:rPr>
              <w:t>Carbon intensity of energy</w:t>
            </w:r>
          </w:p>
          <w:p w14:paraId="4702C88C" w14:textId="77777777" w:rsidR="00C32BCC" w:rsidRPr="006E04DF" w:rsidRDefault="00C32BCC" w:rsidP="008A4E43">
            <w:pPr>
              <w:pStyle w:val="ListParagraph"/>
              <w:numPr>
                <w:ilvl w:val="0"/>
                <w:numId w:val="10"/>
              </w:numPr>
              <w:rPr>
                <w:lang w:val="en-GB"/>
              </w:rPr>
            </w:pPr>
            <w:r w:rsidRPr="006E04DF">
              <w:rPr>
                <w:lang w:val="en-GB"/>
              </w:rPr>
              <w:t xml:space="preserve">Energy mix </w:t>
            </w:r>
          </w:p>
        </w:tc>
        <w:tc>
          <w:tcPr>
            <w:tcW w:w="0" w:type="auto"/>
          </w:tcPr>
          <w:p w14:paraId="50D484B7" w14:textId="77777777" w:rsidR="00C32BCC" w:rsidRPr="006E04DF" w:rsidRDefault="00C32BCC" w:rsidP="008A4E43">
            <w:pPr>
              <w:rPr>
                <w:lang w:val="en-GB"/>
              </w:rPr>
            </w:pPr>
            <w:r w:rsidRPr="006E04DF">
              <w:rPr>
                <w:lang w:val="en-GB"/>
              </w:rPr>
              <w:t xml:space="preserve">Carbon intensity of industrial energy consumption </w:t>
            </w:r>
          </w:p>
          <w:p w14:paraId="03F442DE" w14:textId="49078FFA" w:rsidR="00C32BCC" w:rsidRPr="006E04DF" w:rsidRDefault="00BB5032" w:rsidP="00BB5032">
            <w:pPr>
              <w:rPr>
                <w:i/>
                <w:lang w:val="en-GB"/>
              </w:rPr>
            </w:pPr>
            <w:r>
              <w:rPr>
                <w:i/>
                <w:lang w:val="en-GB"/>
              </w:rPr>
              <w:t>Example mitigation strategy</w:t>
            </w:r>
            <w:r w:rsidR="00C32BCC" w:rsidRPr="006E04DF">
              <w:rPr>
                <w:i/>
                <w:lang w:val="en-GB"/>
              </w:rPr>
              <w:t>:</w:t>
            </w:r>
            <w:r w:rsidR="00C32BCC">
              <w:rPr>
                <w:i/>
                <w:lang w:val="en-GB"/>
              </w:rPr>
              <w:t xml:space="preserve"> switching from coal to gas, or </w:t>
            </w:r>
            <w:r>
              <w:rPr>
                <w:i/>
                <w:lang w:val="en-GB"/>
              </w:rPr>
              <w:t>low-carbon</w:t>
            </w:r>
            <w:r w:rsidR="00C32BCC">
              <w:rPr>
                <w:i/>
                <w:lang w:val="en-GB"/>
              </w:rPr>
              <w:t xml:space="preserve"> electricity or biomass in industrial energy consumption </w:t>
            </w:r>
          </w:p>
        </w:tc>
        <w:tc>
          <w:tcPr>
            <w:tcW w:w="0" w:type="auto"/>
          </w:tcPr>
          <w:p w14:paraId="4CB5DEB8" w14:textId="53ACA673" w:rsidR="00C32BCC" w:rsidRDefault="00C32BCC" w:rsidP="008A4E43">
            <w:pPr>
              <w:rPr>
                <w:lang w:val="en-GB"/>
              </w:rPr>
            </w:pPr>
            <w:r>
              <w:rPr>
                <w:lang w:val="en-GB"/>
              </w:rPr>
              <w:t xml:space="preserve">Carbon intensity </w:t>
            </w:r>
            <w:r w:rsidR="00BB5032">
              <w:rPr>
                <w:lang w:val="en-GB"/>
              </w:rPr>
              <w:t>of transport energy consumption</w:t>
            </w:r>
            <w:r>
              <w:rPr>
                <w:lang w:val="en-GB"/>
              </w:rPr>
              <w:t xml:space="preserve"> </w:t>
            </w:r>
          </w:p>
          <w:p w14:paraId="782E08CA" w14:textId="77777777" w:rsidR="00C32BCC" w:rsidRPr="006E04DF" w:rsidRDefault="00C32BCC" w:rsidP="008A4E43">
            <w:pPr>
              <w:rPr>
                <w:lang w:val="en-GB"/>
              </w:rPr>
            </w:pPr>
            <w:r>
              <w:rPr>
                <w:i/>
                <w:lang w:val="en-GB"/>
              </w:rPr>
              <w:t xml:space="preserve">Example mitigation strategy: shift to electric vehicles </w:t>
            </w:r>
          </w:p>
        </w:tc>
      </w:tr>
    </w:tbl>
    <w:p w14:paraId="350ED1B6" w14:textId="77777777" w:rsidR="00C32BCC" w:rsidRPr="006E04DF" w:rsidRDefault="00C32BCC" w:rsidP="00C32BCC">
      <w:pPr>
        <w:rPr>
          <w:i/>
          <w:lang w:val="en-GB"/>
        </w:rPr>
      </w:pPr>
      <w:r w:rsidRPr="006E04DF">
        <w:rPr>
          <w:i/>
          <w:lang w:val="en-GB"/>
        </w:rPr>
        <w:t xml:space="preserve">Source: authors </w:t>
      </w:r>
    </w:p>
    <w:p w14:paraId="148FF642" w14:textId="5FD27A3E" w:rsidR="00C32BCC" w:rsidRDefault="00C32BCC" w:rsidP="00C32BCC">
      <w:pPr>
        <w:rPr>
          <w:lang w:val="en-GB"/>
        </w:rPr>
      </w:pPr>
      <w:r w:rsidRPr="006E04DF">
        <w:rPr>
          <w:lang w:val="en-GB"/>
        </w:rPr>
        <w:t>Some of t</w:t>
      </w:r>
      <w:r>
        <w:rPr>
          <w:lang w:val="en-GB"/>
        </w:rPr>
        <w:t>hese factors, such as overall transport demand or industrial structure</w:t>
      </w:r>
      <w:r w:rsidRPr="006E04DF">
        <w:rPr>
          <w:lang w:val="en-GB"/>
        </w:rPr>
        <w:t>, are mostly seen as exogenous to climate policy</w:t>
      </w:r>
      <w:r w:rsidR="00373D19">
        <w:rPr>
          <w:lang w:val="en-GB"/>
        </w:rPr>
        <w:t xml:space="preserve"> in the short-term</w:t>
      </w:r>
      <w:r w:rsidRPr="006E04DF">
        <w:rPr>
          <w:lang w:val="en-GB"/>
        </w:rPr>
        <w:t>.</w:t>
      </w:r>
      <w:r>
        <w:rPr>
          <w:lang w:val="en-GB"/>
        </w:rPr>
        <w:t xml:space="preserve"> In the longer-term, however, policies </w:t>
      </w:r>
      <w:r w:rsidR="00373D19">
        <w:rPr>
          <w:lang w:val="en-GB"/>
        </w:rPr>
        <w:t>need to</w:t>
      </w:r>
      <w:r>
        <w:rPr>
          <w:lang w:val="en-GB"/>
        </w:rPr>
        <w:t xml:space="preserve"> impact on these variables, for example through enhanced urban density or dematerialized industrial production through ultra-high performance materials (reducing the use of cement or steel, for the same performance outcome, for example). P</w:t>
      </w:r>
      <w:r w:rsidRPr="006E04DF">
        <w:rPr>
          <w:lang w:val="en-GB"/>
        </w:rPr>
        <w:t>arameters such as energy intensity and carbon intensity are more directly related to climate policy as such</w:t>
      </w:r>
      <w:r w:rsidR="00902CCD">
        <w:rPr>
          <w:lang w:val="en-GB"/>
        </w:rPr>
        <w:t xml:space="preserve"> in the short-term</w:t>
      </w:r>
      <w:r w:rsidRPr="006E04DF">
        <w:rPr>
          <w:lang w:val="en-GB"/>
        </w:rPr>
        <w:t>.</w:t>
      </w:r>
      <w:r>
        <w:rPr>
          <w:lang w:val="en-GB"/>
        </w:rPr>
        <w:t xml:space="preserve"> Here, policy outcomes can be more certain and quantifiable in the short-term. Both kinds of strategies are needed.  </w:t>
      </w:r>
    </w:p>
    <w:p w14:paraId="74C741E3" w14:textId="18ACBB1F" w:rsidR="006400AA" w:rsidRDefault="00C32BCC" w:rsidP="00C32BCC">
      <w:pPr>
        <w:rPr>
          <w:lang w:val="en-GB"/>
        </w:rPr>
      </w:pPr>
      <w:r>
        <w:rPr>
          <w:lang w:val="en-GB"/>
        </w:rPr>
        <w:t>Providing space for countries to identify which levers they are most actively pursuing can have several advantages. Firstly, it can allow countries to highlight forceful actions in the short-term where outcomes are more certain</w:t>
      </w:r>
      <w:r w:rsidR="00070D05">
        <w:rPr>
          <w:lang w:val="en-GB"/>
        </w:rPr>
        <w:t xml:space="preserve"> (for example on the deployment of low-carbon energy)</w:t>
      </w:r>
      <w:r>
        <w:rPr>
          <w:lang w:val="en-GB"/>
        </w:rPr>
        <w:t xml:space="preserve">. This would be </w:t>
      </w:r>
      <w:r w:rsidR="00902CCD">
        <w:rPr>
          <w:lang w:val="en-GB"/>
        </w:rPr>
        <w:t xml:space="preserve">as a </w:t>
      </w:r>
      <w:r>
        <w:rPr>
          <w:lang w:val="en-GB"/>
        </w:rPr>
        <w:t>complement to economy-wide targets</w:t>
      </w:r>
      <w:r w:rsidR="00902CCD">
        <w:rPr>
          <w:lang w:val="en-GB"/>
        </w:rPr>
        <w:t>, which may be more affected by the broader uncertainties discussed above</w:t>
      </w:r>
      <w:r>
        <w:rPr>
          <w:lang w:val="en-GB"/>
        </w:rPr>
        <w:t>. Secondly, by highlighting where countries are taking action (for example, planned roll-out of electric vehicles</w:t>
      </w:r>
      <w:r w:rsidR="001B3222">
        <w:rPr>
          <w:lang w:val="en-GB"/>
        </w:rPr>
        <w:t>, or low-carbon electricity</w:t>
      </w:r>
      <w:r>
        <w:rPr>
          <w:lang w:val="en-GB"/>
        </w:rPr>
        <w:t>), important information can be given for the coordination of innovation, deployment and market creation</w:t>
      </w:r>
      <w:r w:rsidR="001B3222">
        <w:rPr>
          <w:lang w:val="en-GB"/>
        </w:rPr>
        <w:t xml:space="preserve"> within and between countries</w:t>
      </w:r>
      <w:r w:rsidR="00D4278C">
        <w:rPr>
          <w:lang w:val="en-GB"/>
        </w:rPr>
        <w:t>, and for the private sector</w:t>
      </w:r>
      <w:r>
        <w:rPr>
          <w:lang w:val="en-GB"/>
        </w:rPr>
        <w:t>.</w:t>
      </w:r>
      <w:r w:rsidR="001B3222">
        <w:rPr>
          <w:lang w:val="en-GB"/>
        </w:rPr>
        <w:t xml:space="preserve"> This can help to overcome uncertainties about technology innovation and availability.</w:t>
      </w:r>
    </w:p>
    <w:p w14:paraId="39E260E9" w14:textId="21925505" w:rsidR="00C32BCC" w:rsidRDefault="006400AA" w:rsidP="00C32BCC">
      <w:pPr>
        <w:rPr>
          <w:lang w:val="en-GB"/>
        </w:rPr>
      </w:pPr>
      <w:r>
        <w:rPr>
          <w:lang w:val="en-GB"/>
        </w:rPr>
        <w:lastRenderedPageBreak/>
        <w:t xml:space="preserve">A number of conclusions can be drawn from this discussion. First, emissions trajectories are influenced </w:t>
      </w:r>
      <w:r w:rsidR="00703256">
        <w:rPr>
          <w:lang w:val="en-GB"/>
        </w:rPr>
        <w:t>by a number of</w:t>
      </w:r>
      <w:r>
        <w:rPr>
          <w:lang w:val="en-GB"/>
        </w:rPr>
        <w:t xml:space="preserve"> uncertainties. </w:t>
      </w:r>
      <w:r w:rsidR="00703256">
        <w:rPr>
          <w:lang w:val="en-GB"/>
        </w:rPr>
        <w:t>Some of these, in particular the r</w:t>
      </w:r>
      <w:r>
        <w:rPr>
          <w:lang w:val="en-GB"/>
        </w:rPr>
        <w:t>ate and structure of economic growth</w:t>
      </w:r>
      <w:r w:rsidR="00703256">
        <w:rPr>
          <w:lang w:val="en-GB"/>
        </w:rPr>
        <w:t>, urbanization patterns and societal consumption patterns</w:t>
      </w:r>
      <w:r>
        <w:rPr>
          <w:lang w:val="en-GB"/>
        </w:rPr>
        <w:t xml:space="preserve"> are particularly relevant to emerging and developing countries</w:t>
      </w:r>
      <w:r w:rsidR="00703256">
        <w:rPr>
          <w:lang w:val="en-GB"/>
        </w:rPr>
        <w:t xml:space="preserve">, at least in the shorter-term. </w:t>
      </w:r>
      <w:r>
        <w:rPr>
          <w:lang w:val="en-GB"/>
        </w:rPr>
        <w:t>For this reason, secondly, the mitigation</w:t>
      </w:r>
      <w:r w:rsidR="00703256">
        <w:rPr>
          <w:lang w:val="en-GB"/>
        </w:rPr>
        <w:t xml:space="preserve"> framework</w:t>
      </w:r>
      <w:r>
        <w:rPr>
          <w:lang w:val="en-GB"/>
        </w:rPr>
        <w:t xml:space="preserve"> will need to give sufficient flexibility to allow for such uncertainty. </w:t>
      </w:r>
      <w:r w:rsidRPr="00703256">
        <w:rPr>
          <w:b/>
          <w:lang w:val="en-GB"/>
        </w:rPr>
        <w:t>Here relative intensity targets,</w:t>
      </w:r>
      <w:r w:rsidR="00703256">
        <w:rPr>
          <w:b/>
          <w:lang w:val="en-GB"/>
        </w:rPr>
        <w:t xml:space="preserve"> absolute</w:t>
      </w:r>
      <w:r w:rsidRPr="00703256">
        <w:rPr>
          <w:b/>
          <w:lang w:val="en-GB"/>
        </w:rPr>
        <w:t xml:space="preserve"> growth targets, or aspirational peaking targets can have an important role.</w:t>
      </w:r>
      <w:r>
        <w:rPr>
          <w:lang w:val="en-GB"/>
        </w:rPr>
        <w:t xml:space="preserve"> Thirdly, policy outcomes may be more certain in the short-term in certain sectors or for certain mitigation levers. </w:t>
      </w:r>
      <w:r w:rsidR="00703256" w:rsidRPr="005D487C">
        <w:rPr>
          <w:b/>
          <w:lang w:val="en-GB"/>
        </w:rPr>
        <w:t>A closer focus on emissions drivers as a complement to economy-wide targets may allow both greater transparency of action, flexibility for countries to highlight which key drivers they are addressing to the greatest extent</w:t>
      </w:r>
      <w:r w:rsidR="00703256">
        <w:rPr>
          <w:b/>
          <w:lang w:val="en-GB"/>
        </w:rPr>
        <w:t xml:space="preserve">, and more ambitious action. </w:t>
      </w:r>
      <w:r>
        <w:rPr>
          <w:lang w:val="en-GB"/>
        </w:rPr>
        <w:t xml:space="preserve">In this respect, a flexible framework should be developed to allow countries to identify their key </w:t>
      </w:r>
      <w:proofErr w:type="spellStart"/>
      <w:r>
        <w:rPr>
          <w:lang w:val="en-GB"/>
        </w:rPr>
        <w:t>sectoral</w:t>
      </w:r>
      <w:proofErr w:type="spellEnd"/>
      <w:r>
        <w:rPr>
          <w:lang w:val="en-GB"/>
        </w:rPr>
        <w:t xml:space="preserve"> indicators, policies or targets, as a complement to economy-wide targets. Fourthly, this </w:t>
      </w:r>
      <w:proofErr w:type="spellStart"/>
      <w:r>
        <w:rPr>
          <w:lang w:val="en-GB"/>
        </w:rPr>
        <w:t>sectoral</w:t>
      </w:r>
      <w:proofErr w:type="spellEnd"/>
      <w:r>
        <w:rPr>
          <w:lang w:val="en-GB"/>
        </w:rPr>
        <w:t xml:space="preserve"> disaggregation can form the basis for greater </w:t>
      </w:r>
      <w:r w:rsidRPr="00547C7D">
        <w:rPr>
          <w:lang w:val="en-GB"/>
        </w:rPr>
        <w:t xml:space="preserve">cooperation, coordination and </w:t>
      </w:r>
      <w:r w:rsidR="00703256">
        <w:rPr>
          <w:lang w:val="en-GB"/>
        </w:rPr>
        <w:t xml:space="preserve">credibility, particularly by more strongly shaping </w:t>
      </w:r>
      <w:r w:rsidR="00726D51">
        <w:rPr>
          <w:lang w:val="en-GB"/>
        </w:rPr>
        <w:t xml:space="preserve">the </w:t>
      </w:r>
      <w:r w:rsidR="00703256">
        <w:rPr>
          <w:lang w:val="en-GB"/>
        </w:rPr>
        <w:t>expectations</w:t>
      </w:r>
      <w:r w:rsidR="00726D51">
        <w:rPr>
          <w:lang w:val="en-GB"/>
        </w:rPr>
        <w:t xml:space="preserve"> of the private sector</w:t>
      </w:r>
      <w:r w:rsidR="00070D05">
        <w:rPr>
          <w:lang w:val="en-GB"/>
        </w:rPr>
        <w:t xml:space="preserve"> actions within each sector</w:t>
      </w:r>
      <w:r w:rsidRPr="00547C7D">
        <w:rPr>
          <w:lang w:val="en-GB"/>
        </w:rPr>
        <w:t>.</w:t>
      </w:r>
      <w:r w:rsidRPr="006E04DF">
        <w:rPr>
          <w:b/>
          <w:lang w:val="en-GB"/>
        </w:rPr>
        <w:t xml:space="preserve"> </w:t>
      </w:r>
    </w:p>
    <w:p w14:paraId="5AE12B00" w14:textId="65DEFEC8" w:rsidR="006478B5" w:rsidRPr="006E04DF" w:rsidRDefault="006478B5" w:rsidP="00E57618">
      <w:pPr>
        <w:pStyle w:val="Heading2"/>
        <w:rPr>
          <w:lang w:val="en-GB"/>
        </w:rPr>
      </w:pPr>
      <w:bookmarkStart w:id="20" w:name="_Toc389461677"/>
      <w:r w:rsidRPr="006E04DF">
        <w:rPr>
          <w:lang w:val="en-GB"/>
        </w:rPr>
        <w:t>Creating a Long-Term, Dynamic Agreement</w:t>
      </w:r>
      <w:bookmarkEnd w:id="20"/>
      <w:r w:rsidRPr="006E04DF">
        <w:rPr>
          <w:lang w:val="en-GB"/>
        </w:rPr>
        <w:t xml:space="preserve"> </w:t>
      </w:r>
    </w:p>
    <w:p w14:paraId="0B3B7A1E" w14:textId="381BDFA4" w:rsidR="00FE47A7" w:rsidRPr="006E04DF" w:rsidRDefault="006F62BF" w:rsidP="00FE47A7">
      <w:pPr>
        <w:rPr>
          <w:lang w:val="en-GB"/>
        </w:rPr>
      </w:pPr>
      <w:r w:rsidRPr="006E04DF">
        <w:rPr>
          <w:lang w:val="en-GB"/>
        </w:rPr>
        <w:t>Because of the uncertainties highlighted above, the new agreement will need to be robust to new information and dynamic over time.</w:t>
      </w:r>
      <w:r w:rsidRPr="006E04DF">
        <w:rPr>
          <w:rStyle w:val="FootnoteReference"/>
          <w:lang w:val="en-GB"/>
        </w:rPr>
        <w:footnoteReference w:id="29"/>
      </w:r>
      <w:r w:rsidR="00FE47A7" w:rsidRPr="006E04DF">
        <w:rPr>
          <w:lang w:val="en-GB"/>
        </w:rPr>
        <w:t xml:space="preserve"> Countries will likely be able to reinforce their actions over time, as collective learning about policies, technologies and the science of climate change takes place. In this respect, it is important to optimize the two parameters of flexibility and predictability.</w:t>
      </w:r>
      <w:r w:rsidR="00FE47A7" w:rsidRPr="006E04DF">
        <w:rPr>
          <w:rStyle w:val="FootnoteReference"/>
          <w:lang w:val="en-GB"/>
        </w:rPr>
        <w:footnoteReference w:id="30"/>
      </w:r>
      <w:r w:rsidR="00FE47A7" w:rsidRPr="006E04DF">
        <w:rPr>
          <w:lang w:val="en-GB"/>
        </w:rPr>
        <w:t xml:space="preserve"> Predictability renders state engagement mutually more credible,</w:t>
      </w:r>
      <w:r w:rsidR="00877C04">
        <w:rPr>
          <w:lang w:val="en-GB"/>
        </w:rPr>
        <w:t xml:space="preserve"> facilitates reciprocity,</w:t>
      </w:r>
      <w:r w:rsidR="00FE47A7" w:rsidRPr="006E04DF">
        <w:rPr>
          <w:lang w:val="en-GB"/>
        </w:rPr>
        <w:t xml:space="preserve"> and sends more robust signals to the private sector. Flexibility will allow the agreement to be tightened over time, and to react to changing circumstances.</w:t>
      </w:r>
      <w:r w:rsidR="002F7E3F">
        <w:rPr>
          <w:lang w:val="en-GB"/>
        </w:rPr>
        <w:t xml:space="preserve"> </w:t>
      </w:r>
    </w:p>
    <w:p w14:paraId="03C87F95" w14:textId="77777777" w:rsidR="00FE47A7" w:rsidRPr="006E04DF" w:rsidRDefault="00FE47A7" w:rsidP="00E57618">
      <w:pPr>
        <w:pStyle w:val="Heading1"/>
        <w:rPr>
          <w:lang w:val="en-GB"/>
        </w:rPr>
      </w:pPr>
      <w:bookmarkStart w:id="21" w:name="_Toc389461678"/>
      <w:r w:rsidRPr="006E04DF">
        <w:rPr>
          <w:lang w:val="en-GB"/>
        </w:rPr>
        <w:t>The Example of the Cancun Targets</w:t>
      </w:r>
      <w:bookmarkEnd w:id="21"/>
      <w:r w:rsidRPr="006E04DF">
        <w:rPr>
          <w:lang w:val="en-GB"/>
        </w:rPr>
        <w:t xml:space="preserve"> </w:t>
      </w:r>
    </w:p>
    <w:p w14:paraId="3DD330D3" w14:textId="35935CDE" w:rsidR="00995AF7" w:rsidRDefault="00FE47A7" w:rsidP="00FE47A7">
      <w:pPr>
        <w:rPr>
          <w:lang w:val="en-GB"/>
        </w:rPr>
      </w:pPr>
      <w:r w:rsidRPr="006E04DF">
        <w:rPr>
          <w:lang w:val="en-GB"/>
        </w:rPr>
        <w:t>Before going into the proposal on</w:t>
      </w:r>
      <w:r w:rsidR="00877C04">
        <w:rPr>
          <w:lang w:val="en-GB"/>
        </w:rPr>
        <w:t xml:space="preserve"> how</w:t>
      </w:r>
      <w:r w:rsidRPr="006E04DF">
        <w:rPr>
          <w:lang w:val="en-GB"/>
        </w:rPr>
        <w:t xml:space="preserve"> </w:t>
      </w:r>
      <w:r w:rsidR="00ED30FA">
        <w:rPr>
          <w:lang w:val="en-GB"/>
        </w:rPr>
        <w:t>the mitigation framework</w:t>
      </w:r>
      <w:r w:rsidR="009161FE">
        <w:rPr>
          <w:lang w:val="en-GB"/>
        </w:rPr>
        <w:t xml:space="preserve"> can address the four</w:t>
      </w:r>
      <w:r w:rsidRPr="006E04DF">
        <w:rPr>
          <w:lang w:val="en-GB"/>
        </w:rPr>
        <w:t xml:space="preserve"> challenges outlined above, we look into the structure of the Cancun targets. </w:t>
      </w:r>
      <w:r w:rsidR="009161FE">
        <w:rPr>
          <w:lang w:val="en-GB"/>
        </w:rPr>
        <w:fldChar w:fldCharType="begin"/>
      </w:r>
      <w:r w:rsidR="009161FE">
        <w:rPr>
          <w:lang w:val="en-GB"/>
        </w:rPr>
        <w:instrText xml:space="preserve"> REF _Ref388544583 \h </w:instrText>
      </w:r>
      <w:r w:rsidR="009161FE">
        <w:rPr>
          <w:lang w:val="en-GB"/>
        </w:rPr>
      </w:r>
      <w:r w:rsidR="009161FE">
        <w:rPr>
          <w:lang w:val="en-GB"/>
        </w:rPr>
        <w:fldChar w:fldCharType="separate"/>
      </w:r>
      <w:r w:rsidR="00B71BFE">
        <w:t xml:space="preserve">Figure </w:t>
      </w:r>
      <w:r w:rsidR="00B71BFE">
        <w:rPr>
          <w:noProof/>
        </w:rPr>
        <w:t>6</w:t>
      </w:r>
      <w:r w:rsidR="009161FE">
        <w:rPr>
          <w:lang w:val="en-GB"/>
        </w:rPr>
        <w:fldChar w:fldCharType="end"/>
      </w:r>
      <w:r w:rsidR="009161FE">
        <w:rPr>
          <w:lang w:val="en-GB"/>
        </w:rPr>
        <w:t xml:space="preserve"> </w:t>
      </w:r>
      <w:r w:rsidR="00995AF7" w:rsidRPr="006E04DF">
        <w:rPr>
          <w:lang w:val="en-GB"/>
        </w:rPr>
        <w:t xml:space="preserve">and </w:t>
      </w:r>
      <w:r w:rsidR="009161FE">
        <w:rPr>
          <w:lang w:val="en-GB"/>
        </w:rPr>
        <w:fldChar w:fldCharType="begin"/>
      </w:r>
      <w:r w:rsidR="009161FE">
        <w:rPr>
          <w:lang w:val="en-GB"/>
        </w:rPr>
        <w:instrText xml:space="preserve"> REF _Ref388544667 \h </w:instrText>
      </w:r>
      <w:r w:rsidR="009161FE">
        <w:rPr>
          <w:lang w:val="en-GB"/>
        </w:rPr>
      </w:r>
      <w:r w:rsidR="009161FE">
        <w:rPr>
          <w:lang w:val="en-GB"/>
        </w:rPr>
        <w:fldChar w:fldCharType="separate"/>
      </w:r>
      <w:r w:rsidR="00B71BFE">
        <w:t xml:space="preserve">Figure </w:t>
      </w:r>
      <w:r w:rsidR="00B71BFE">
        <w:rPr>
          <w:noProof/>
        </w:rPr>
        <w:t>7</w:t>
      </w:r>
      <w:r w:rsidR="009161FE">
        <w:rPr>
          <w:lang w:val="en-GB"/>
        </w:rPr>
        <w:fldChar w:fldCharType="end"/>
      </w:r>
      <w:r w:rsidRPr="006E04DF">
        <w:rPr>
          <w:lang w:val="en-GB"/>
        </w:rPr>
        <w:t xml:space="preserve"> represent the Cancun targets by type of target: </w:t>
      </w:r>
      <w:r w:rsidR="00995AF7" w:rsidRPr="006E04DF">
        <w:rPr>
          <w:lang w:val="en-GB"/>
        </w:rPr>
        <w:t xml:space="preserve">absolute relative to a base-year, BAU targets, carbon intensity targets, and quantified and non-quantified </w:t>
      </w:r>
      <w:proofErr w:type="spellStart"/>
      <w:r w:rsidR="00995AF7" w:rsidRPr="006E04DF">
        <w:rPr>
          <w:lang w:val="en-GB"/>
        </w:rPr>
        <w:t>sectoral</w:t>
      </w:r>
      <w:proofErr w:type="spellEnd"/>
      <w:r w:rsidR="00995AF7" w:rsidRPr="006E04DF">
        <w:rPr>
          <w:lang w:val="en-GB"/>
        </w:rPr>
        <w:t xml:space="preserve"> targets. </w:t>
      </w:r>
    </w:p>
    <w:p w14:paraId="7F5231D4" w14:textId="77777777" w:rsidR="00F04797" w:rsidRDefault="00F04797" w:rsidP="00FE47A7">
      <w:pPr>
        <w:rPr>
          <w:lang w:val="en-GB"/>
        </w:rPr>
      </w:pPr>
    </w:p>
    <w:p w14:paraId="0F4E9A3D" w14:textId="77777777" w:rsidR="00F04797" w:rsidRDefault="00F04797" w:rsidP="00FE47A7">
      <w:pPr>
        <w:rPr>
          <w:lang w:val="en-GB"/>
        </w:rPr>
      </w:pPr>
    </w:p>
    <w:p w14:paraId="557FD22D" w14:textId="77777777" w:rsidR="00F04797" w:rsidRDefault="00F04797" w:rsidP="00FE47A7">
      <w:pPr>
        <w:rPr>
          <w:lang w:val="en-GB"/>
        </w:rPr>
      </w:pPr>
    </w:p>
    <w:p w14:paraId="23AEF525" w14:textId="77777777" w:rsidR="00F04797" w:rsidRDefault="00F04797" w:rsidP="00FE47A7">
      <w:pPr>
        <w:rPr>
          <w:lang w:val="en-GB"/>
        </w:rPr>
      </w:pPr>
    </w:p>
    <w:p w14:paraId="09FF5C65" w14:textId="77777777" w:rsidR="00F04797" w:rsidRDefault="00F04797" w:rsidP="00FE47A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962"/>
      </w:tblGrid>
      <w:tr w:rsidR="00995AF7" w:rsidRPr="006E04DF" w14:paraId="78152974" w14:textId="77777777" w:rsidTr="00373D19">
        <w:tc>
          <w:tcPr>
            <w:tcW w:w="4280" w:type="dxa"/>
          </w:tcPr>
          <w:p w14:paraId="0932BE46" w14:textId="53020E6F" w:rsidR="009161FE" w:rsidRDefault="00BE7005" w:rsidP="009161FE">
            <w:pPr>
              <w:pStyle w:val="Caption"/>
            </w:pPr>
            <w:r>
              <w:rPr>
                <w:lang w:val="en-GB"/>
              </w:rPr>
              <w:t xml:space="preserve"> </w:t>
            </w:r>
            <w:bookmarkStart w:id="22" w:name="_Ref388544583"/>
            <w:bookmarkStart w:id="23" w:name="_Toc389213002"/>
            <w:r w:rsidR="009161FE">
              <w:t xml:space="preserve">Figure </w:t>
            </w:r>
            <w:r w:rsidR="009161FE">
              <w:fldChar w:fldCharType="begin"/>
            </w:r>
            <w:r w:rsidR="009161FE">
              <w:instrText xml:space="preserve"> SEQ Figure \* ARABIC </w:instrText>
            </w:r>
            <w:r w:rsidR="009161FE">
              <w:fldChar w:fldCharType="separate"/>
            </w:r>
            <w:r w:rsidR="007C2EAD">
              <w:rPr>
                <w:noProof/>
              </w:rPr>
              <w:t>6</w:t>
            </w:r>
            <w:r w:rsidR="009161FE">
              <w:fldChar w:fldCharType="end"/>
            </w:r>
            <w:bookmarkEnd w:id="22"/>
            <w:r w:rsidR="009161FE">
              <w:t>:</w:t>
            </w:r>
            <w:r w:rsidR="009161FE" w:rsidRPr="009161FE">
              <w:t xml:space="preserve"> number of countries with economy-wide targets by target type</w:t>
            </w:r>
            <w:bookmarkEnd w:id="23"/>
          </w:p>
          <w:p w14:paraId="6A04E33F" w14:textId="33413401" w:rsidR="00995AF7" w:rsidRPr="006E04DF" w:rsidRDefault="00995AF7" w:rsidP="00995AF7">
            <w:pPr>
              <w:rPr>
                <w:b/>
                <w:lang w:val="en-GB"/>
              </w:rPr>
            </w:pPr>
          </w:p>
        </w:tc>
        <w:tc>
          <w:tcPr>
            <w:tcW w:w="4962" w:type="dxa"/>
          </w:tcPr>
          <w:p w14:paraId="588EC47F" w14:textId="34DE69DF" w:rsidR="00995AF7" w:rsidRPr="006E04DF" w:rsidRDefault="009161FE" w:rsidP="009161FE">
            <w:pPr>
              <w:pStyle w:val="Caption"/>
              <w:rPr>
                <w:b w:val="0"/>
                <w:lang w:val="en-GB"/>
              </w:rPr>
            </w:pPr>
            <w:bookmarkStart w:id="24" w:name="_Ref388544667"/>
            <w:bookmarkStart w:id="25" w:name="_Toc389213003"/>
            <w:r>
              <w:t xml:space="preserve">Figure </w:t>
            </w:r>
            <w:r>
              <w:fldChar w:fldCharType="begin"/>
            </w:r>
            <w:r>
              <w:instrText xml:space="preserve"> SEQ Figure \* ARABIC </w:instrText>
            </w:r>
            <w:r>
              <w:fldChar w:fldCharType="separate"/>
            </w:r>
            <w:r w:rsidR="007C2EAD">
              <w:rPr>
                <w:noProof/>
              </w:rPr>
              <w:t>7</w:t>
            </w:r>
            <w:r>
              <w:fldChar w:fldCharType="end"/>
            </w:r>
            <w:bookmarkEnd w:id="24"/>
            <w:r>
              <w:t xml:space="preserve">: </w:t>
            </w:r>
            <w:r w:rsidR="00995AF7" w:rsidRPr="009161FE">
              <w:t xml:space="preserve">number of countries with </w:t>
            </w:r>
            <w:proofErr w:type="spellStart"/>
            <w:r w:rsidR="00995AF7" w:rsidRPr="009161FE">
              <w:t>sectoral</w:t>
            </w:r>
            <w:proofErr w:type="spellEnd"/>
            <w:r w:rsidR="00995AF7" w:rsidRPr="009161FE">
              <w:t xml:space="preserve"> targets by sector and target type</w:t>
            </w:r>
            <w:bookmarkEnd w:id="25"/>
          </w:p>
        </w:tc>
      </w:tr>
      <w:tr w:rsidR="00995AF7" w:rsidRPr="006E04DF" w14:paraId="56572DF1" w14:textId="77777777" w:rsidTr="00373D19">
        <w:tblPrEx>
          <w:tblCellMar>
            <w:left w:w="70" w:type="dxa"/>
            <w:right w:w="70" w:type="dxa"/>
          </w:tblCellMar>
        </w:tblPrEx>
        <w:tc>
          <w:tcPr>
            <w:tcW w:w="4280" w:type="dxa"/>
          </w:tcPr>
          <w:p w14:paraId="5EE447DE" w14:textId="77777777" w:rsidR="00995AF7" w:rsidRPr="006E04DF" w:rsidRDefault="00995AF7" w:rsidP="00FE47A7">
            <w:pPr>
              <w:rPr>
                <w:lang w:val="en-GB"/>
              </w:rPr>
            </w:pPr>
            <w:r w:rsidRPr="006E04DF">
              <w:rPr>
                <w:noProof/>
                <w:lang w:val="fr-FR" w:eastAsia="fr-FR"/>
              </w:rPr>
              <w:lastRenderedPageBreak/>
              <w:drawing>
                <wp:inline distT="0" distB="0" distL="0" distR="0" wp14:anchorId="33215352" wp14:editId="20862E16">
                  <wp:extent cx="2655736" cy="2337683"/>
                  <wp:effectExtent l="0" t="0" r="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962" w:type="dxa"/>
          </w:tcPr>
          <w:p w14:paraId="76A5EBE2" w14:textId="77777777" w:rsidR="00995AF7" w:rsidRPr="006E04DF" w:rsidRDefault="00995AF7" w:rsidP="00FE47A7">
            <w:pPr>
              <w:rPr>
                <w:lang w:val="en-GB"/>
              </w:rPr>
            </w:pPr>
            <w:r w:rsidRPr="006E04DF">
              <w:rPr>
                <w:noProof/>
                <w:lang w:val="fr-FR" w:eastAsia="fr-FR"/>
              </w:rPr>
              <w:drawing>
                <wp:inline distT="0" distB="0" distL="0" distR="0" wp14:anchorId="56A2BC6F" wp14:editId="589BC36E">
                  <wp:extent cx="3094330" cy="2399386"/>
                  <wp:effectExtent l="0" t="0" r="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95AF7" w:rsidRPr="006E04DF" w14:paraId="1580F857" w14:textId="77777777" w:rsidTr="00373D19">
        <w:tc>
          <w:tcPr>
            <w:tcW w:w="4280" w:type="dxa"/>
          </w:tcPr>
          <w:p w14:paraId="698A65AB" w14:textId="75940D9F" w:rsidR="00995AF7" w:rsidRPr="008A4E43" w:rsidRDefault="008A4E43" w:rsidP="00FE47A7">
            <w:pPr>
              <w:rPr>
                <w:i/>
                <w:lang w:val="en-GB"/>
              </w:rPr>
            </w:pPr>
            <w:r w:rsidRPr="008A4E43">
              <w:rPr>
                <w:i/>
                <w:lang w:val="en-GB"/>
              </w:rPr>
              <w:t>Source:</w:t>
            </w:r>
            <w:r w:rsidR="008405BD">
              <w:rPr>
                <w:i/>
                <w:lang w:val="en-GB"/>
              </w:rPr>
              <w:t xml:space="preserve"> authors based on</w:t>
            </w:r>
            <w:r w:rsidRPr="008A4E43">
              <w:rPr>
                <w:i/>
                <w:lang w:val="en-GB"/>
              </w:rPr>
              <w:t xml:space="preserve"> UNFCCC, 2014</w:t>
            </w:r>
            <w:r w:rsidR="009A5C0E">
              <w:rPr>
                <w:rStyle w:val="FootnoteReference"/>
                <w:i/>
                <w:lang w:val="en-GB"/>
              </w:rPr>
              <w:footnoteReference w:id="31"/>
            </w:r>
          </w:p>
        </w:tc>
        <w:tc>
          <w:tcPr>
            <w:tcW w:w="4962" w:type="dxa"/>
          </w:tcPr>
          <w:p w14:paraId="7D6B3945" w14:textId="3EE166BE" w:rsidR="00995AF7" w:rsidRPr="008A4E43" w:rsidRDefault="008A4E43" w:rsidP="009A5C0E">
            <w:pPr>
              <w:rPr>
                <w:i/>
                <w:lang w:val="en-GB"/>
              </w:rPr>
            </w:pPr>
            <w:r w:rsidRPr="008A4E43">
              <w:rPr>
                <w:i/>
                <w:lang w:val="en-GB"/>
              </w:rPr>
              <w:t>Source:</w:t>
            </w:r>
            <w:r w:rsidR="008405BD">
              <w:rPr>
                <w:i/>
                <w:lang w:val="en-GB"/>
              </w:rPr>
              <w:t xml:space="preserve"> authors based on</w:t>
            </w:r>
            <w:r w:rsidRPr="008A4E43">
              <w:rPr>
                <w:i/>
                <w:lang w:val="en-GB"/>
              </w:rPr>
              <w:t xml:space="preserve"> UNFCCC, 2014</w:t>
            </w:r>
            <w:r w:rsidR="009A5C0E">
              <w:rPr>
                <w:rStyle w:val="FootnoteReference"/>
                <w:i/>
                <w:lang w:val="en-GB"/>
              </w:rPr>
              <w:footnoteReference w:id="32"/>
            </w:r>
          </w:p>
        </w:tc>
      </w:tr>
    </w:tbl>
    <w:p w14:paraId="0FC3E738" w14:textId="3E41336C" w:rsidR="00FE47A7" w:rsidRPr="006E04DF" w:rsidRDefault="00995AF7" w:rsidP="009161FE">
      <w:pPr>
        <w:pStyle w:val="Caption"/>
        <w:rPr>
          <w:lang w:val="en-GB"/>
        </w:rPr>
      </w:pPr>
      <w:r w:rsidRPr="006E04DF">
        <w:rPr>
          <w:lang w:val="en-GB"/>
        </w:rPr>
        <w:t xml:space="preserve">  </w:t>
      </w:r>
    </w:p>
    <w:p w14:paraId="6989F900" w14:textId="52BB8B2D" w:rsidR="00E7719B" w:rsidRPr="006E04DF" w:rsidRDefault="00995AF7" w:rsidP="00FE47A7">
      <w:pPr>
        <w:rPr>
          <w:lang w:val="en-GB"/>
        </w:rPr>
      </w:pPr>
      <w:r w:rsidRPr="006E04DF">
        <w:rPr>
          <w:lang w:val="en-GB"/>
        </w:rPr>
        <w:t xml:space="preserve">As can be seen, a large number of developing countries took on </w:t>
      </w:r>
      <w:proofErr w:type="spellStart"/>
      <w:r w:rsidRPr="006E04DF">
        <w:rPr>
          <w:lang w:val="en-GB"/>
        </w:rPr>
        <w:t>sectoral</w:t>
      </w:r>
      <w:proofErr w:type="spellEnd"/>
      <w:r w:rsidRPr="006E04DF">
        <w:rPr>
          <w:lang w:val="en-GB"/>
        </w:rPr>
        <w:t xml:space="preserve"> targets, due to the lack of capacity to formulate economy-wide targets</w:t>
      </w:r>
      <w:r w:rsidR="009161FE">
        <w:rPr>
          <w:lang w:val="en-GB"/>
        </w:rPr>
        <w:t>, and uncertainty over economy-wide outcomes</w:t>
      </w:r>
      <w:r w:rsidRPr="006E04DF">
        <w:rPr>
          <w:lang w:val="en-GB"/>
        </w:rPr>
        <w:t xml:space="preserve">. </w:t>
      </w:r>
      <w:proofErr w:type="gramStart"/>
      <w:r w:rsidRPr="006E04DF">
        <w:rPr>
          <w:lang w:val="en-GB"/>
        </w:rPr>
        <w:t xml:space="preserve">A large share of these </w:t>
      </w:r>
      <w:proofErr w:type="spellStart"/>
      <w:r w:rsidRPr="006E04DF">
        <w:rPr>
          <w:lang w:val="en-GB"/>
        </w:rPr>
        <w:t>sectoral</w:t>
      </w:r>
      <w:proofErr w:type="spellEnd"/>
      <w:r w:rsidRPr="006E04DF">
        <w:rPr>
          <w:lang w:val="en-GB"/>
        </w:rPr>
        <w:t xml:space="preserve"> targets were</w:t>
      </w:r>
      <w:proofErr w:type="gramEnd"/>
      <w:r w:rsidRPr="006E04DF">
        <w:rPr>
          <w:lang w:val="en-GB"/>
        </w:rPr>
        <w:t xml:space="preserve"> also qualitative in nature. Concerning the emerging countries, it is interesting to note that a</w:t>
      </w:r>
      <w:r w:rsidR="00E7719B" w:rsidRPr="006E04DF">
        <w:rPr>
          <w:lang w:val="en-GB"/>
        </w:rPr>
        <w:t xml:space="preserve"> number of them took on hybrid targets, combining economy-wide</w:t>
      </w:r>
      <w:r w:rsidR="00E5050D" w:rsidRPr="006E04DF">
        <w:rPr>
          <w:lang w:val="en-GB"/>
        </w:rPr>
        <w:t xml:space="preserve"> relative targets</w:t>
      </w:r>
      <w:r w:rsidR="00E7719B" w:rsidRPr="006E04DF">
        <w:rPr>
          <w:lang w:val="en-GB"/>
        </w:rPr>
        <w:t xml:space="preserve"> and </w:t>
      </w:r>
      <w:proofErr w:type="spellStart"/>
      <w:r w:rsidR="00E7719B" w:rsidRPr="006E04DF">
        <w:rPr>
          <w:lang w:val="en-GB"/>
        </w:rPr>
        <w:t>sectoral</w:t>
      </w:r>
      <w:proofErr w:type="spellEnd"/>
      <w:r w:rsidR="00E5050D" w:rsidRPr="006E04DF">
        <w:rPr>
          <w:lang w:val="en-GB"/>
        </w:rPr>
        <w:t xml:space="preserve"> targets and</w:t>
      </w:r>
      <w:r w:rsidR="00E7719B" w:rsidRPr="006E04DF">
        <w:rPr>
          <w:lang w:val="en-GB"/>
        </w:rPr>
        <w:t xml:space="preserve"> </w:t>
      </w:r>
      <w:r w:rsidR="00E5050D" w:rsidRPr="006E04DF">
        <w:rPr>
          <w:lang w:val="en-GB"/>
        </w:rPr>
        <w:t>actions</w:t>
      </w:r>
      <w:r w:rsidR="00E7719B" w:rsidRPr="006E04DF">
        <w:rPr>
          <w:lang w:val="en-GB"/>
        </w:rPr>
        <w:t xml:space="preserve">: </w:t>
      </w:r>
    </w:p>
    <w:p w14:paraId="6D2274E6" w14:textId="77777777" w:rsidR="00E7719B" w:rsidRPr="006E04DF" w:rsidRDefault="00E7719B" w:rsidP="00E7719B">
      <w:pPr>
        <w:pStyle w:val="ListParagraph"/>
        <w:numPr>
          <w:ilvl w:val="0"/>
          <w:numId w:val="10"/>
        </w:numPr>
        <w:rPr>
          <w:lang w:val="en-GB"/>
        </w:rPr>
      </w:pPr>
      <w:r w:rsidRPr="006E04DF">
        <w:rPr>
          <w:lang w:val="en-GB"/>
        </w:rPr>
        <w:t xml:space="preserve">China: economy-wide carbon intensity target of 40-45% improvement by 2020; plus </w:t>
      </w:r>
      <w:proofErr w:type="spellStart"/>
      <w:r w:rsidRPr="006E04DF">
        <w:rPr>
          <w:lang w:val="en-GB"/>
        </w:rPr>
        <w:t>sectoral</w:t>
      </w:r>
      <w:proofErr w:type="spellEnd"/>
      <w:r w:rsidRPr="006E04DF">
        <w:rPr>
          <w:lang w:val="en-GB"/>
        </w:rPr>
        <w:t xml:space="preserve"> target to increase the share of non-fossil fuels in primary energy to 15% by 2020, and a land-use target to increase forest cover by 40 million ha and forest stock volume by 1.3 million m</w:t>
      </w:r>
      <w:r w:rsidRPr="006E04DF">
        <w:rPr>
          <w:vertAlign w:val="superscript"/>
          <w:lang w:val="en-GB"/>
        </w:rPr>
        <w:t>3</w:t>
      </w:r>
      <w:r w:rsidRPr="006E04DF">
        <w:rPr>
          <w:lang w:val="en-GB"/>
        </w:rPr>
        <w:t xml:space="preserve"> by 2020 compared to 2005. </w:t>
      </w:r>
    </w:p>
    <w:p w14:paraId="5DEB9E14" w14:textId="77777777" w:rsidR="00E7719B" w:rsidRPr="006E04DF" w:rsidRDefault="00E7719B" w:rsidP="00E7719B">
      <w:pPr>
        <w:pStyle w:val="ListParagraph"/>
        <w:numPr>
          <w:ilvl w:val="0"/>
          <w:numId w:val="10"/>
        </w:numPr>
        <w:rPr>
          <w:lang w:val="en-GB"/>
        </w:rPr>
      </w:pPr>
      <w:r w:rsidRPr="006E04DF">
        <w:rPr>
          <w:lang w:val="en-GB"/>
        </w:rPr>
        <w:t xml:space="preserve">Brazil: economy wide BAU target of 36.1-38.9% below projected levels, plus a number of </w:t>
      </w:r>
      <w:proofErr w:type="spellStart"/>
      <w:r w:rsidRPr="006E04DF">
        <w:rPr>
          <w:lang w:val="en-GB"/>
        </w:rPr>
        <w:t>sectoral</w:t>
      </w:r>
      <w:proofErr w:type="spellEnd"/>
      <w:r w:rsidRPr="006E04DF">
        <w:rPr>
          <w:lang w:val="en-GB"/>
        </w:rPr>
        <w:t xml:space="preserve"> targets relating to land-use, energy efficiency, transport energy supply, electric energy supply, and industry. </w:t>
      </w:r>
    </w:p>
    <w:p w14:paraId="331C4F4A" w14:textId="77777777" w:rsidR="00E7719B" w:rsidRPr="006E04DF" w:rsidRDefault="00E7719B" w:rsidP="00E7719B">
      <w:pPr>
        <w:pStyle w:val="ListParagraph"/>
        <w:numPr>
          <w:ilvl w:val="0"/>
          <w:numId w:val="10"/>
        </w:numPr>
        <w:rPr>
          <w:lang w:val="en-GB"/>
        </w:rPr>
      </w:pPr>
      <w:r w:rsidRPr="006E04DF">
        <w:rPr>
          <w:lang w:val="en-GB"/>
        </w:rPr>
        <w:t xml:space="preserve">South Africa: BAU target only, of 34% below BAU in 2020 and 42% below BAU in 2025. </w:t>
      </w:r>
    </w:p>
    <w:p w14:paraId="601AA48B" w14:textId="77777777" w:rsidR="00E7719B" w:rsidRPr="006E04DF" w:rsidRDefault="00E7719B" w:rsidP="00E7719B">
      <w:pPr>
        <w:pStyle w:val="ListParagraph"/>
        <w:numPr>
          <w:ilvl w:val="0"/>
          <w:numId w:val="10"/>
        </w:numPr>
        <w:rPr>
          <w:lang w:val="en-GB"/>
        </w:rPr>
      </w:pPr>
      <w:r w:rsidRPr="006E04DF">
        <w:rPr>
          <w:lang w:val="en-GB"/>
        </w:rPr>
        <w:t xml:space="preserve">India: carbon intensity target, excluding the agricultural sector. </w:t>
      </w:r>
    </w:p>
    <w:p w14:paraId="79276074" w14:textId="77777777" w:rsidR="00C0678D" w:rsidRPr="006E04DF" w:rsidRDefault="00C0678D" w:rsidP="00C0678D">
      <w:pPr>
        <w:rPr>
          <w:lang w:val="en-GB"/>
        </w:rPr>
      </w:pPr>
      <w:r w:rsidRPr="006E04DF">
        <w:rPr>
          <w:lang w:val="en-GB"/>
        </w:rPr>
        <w:t>The Cancun targets demonstrate the importance of</w:t>
      </w:r>
      <w:r w:rsidR="00E5050D" w:rsidRPr="006E04DF">
        <w:rPr>
          <w:lang w:val="en-GB"/>
        </w:rPr>
        <w:t xml:space="preserve"> including</w:t>
      </w:r>
      <w:r w:rsidRPr="006E04DF">
        <w:rPr>
          <w:lang w:val="en-GB"/>
        </w:rPr>
        <w:t xml:space="preserve"> sector-specific </w:t>
      </w:r>
      <w:r w:rsidR="00E5050D" w:rsidRPr="006E04DF">
        <w:rPr>
          <w:lang w:val="en-GB"/>
        </w:rPr>
        <w:t>actions within the mitigation framework</w:t>
      </w:r>
      <w:r w:rsidRPr="006E04DF">
        <w:rPr>
          <w:lang w:val="en-GB"/>
        </w:rPr>
        <w:t xml:space="preserve"> to allow countries to express efforts that they are undertaking, either as a complement to an economy-wide target, or as a substitute for those countries unable to undertake an economy-wide target. </w:t>
      </w:r>
    </w:p>
    <w:p w14:paraId="541026BE" w14:textId="53372572" w:rsidR="00CB6F49" w:rsidRDefault="00FE3489" w:rsidP="00E57618">
      <w:pPr>
        <w:pStyle w:val="Heading1"/>
        <w:rPr>
          <w:lang w:val="en-GB"/>
        </w:rPr>
      </w:pPr>
      <w:bookmarkStart w:id="26" w:name="_Toc389461679"/>
      <w:r w:rsidRPr="006E04DF">
        <w:rPr>
          <w:lang w:val="en-GB"/>
        </w:rPr>
        <w:t>The Design of</w:t>
      </w:r>
      <w:r w:rsidR="00C0678D" w:rsidRPr="006E04DF">
        <w:rPr>
          <w:lang w:val="en-GB"/>
        </w:rPr>
        <w:t xml:space="preserve"> Mitigation Targets – A Proposal</w:t>
      </w:r>
      <w:bookmarkEnd w:id="26"/>
    </w:p>
    <w:p w14:paraId="63940C85" w14:textId="1DC68EAF" w:rsidR="00CB6F49" w:rsidRPr="006E04DF" w:rsidRDefault="000158E9" w:rsidP="00E57618">
      <w:pPr>
        <w:pStyle w:val="Heading2"/>
        <w:rPr>
          <w:lang w:val="en-GB" w:eastAsia="zh-CN"/>
        </w:rPr>
      </w:pPr>
      <w:bookmarkStart w:id="27" w:name="_Toc389461680"/>
      <w:r w:rsidRPr="006E04DF">
        <w:rPr>
          <w:lang w:val="en-GB" w:eastAsia="zh-CN"/>
        </w:rPr>
        <w:t>The 2 Degrees Target: A</w:t>
      </w:r>
      <w:r w:rsidR="00CB6F49" w:rsidRPr="006E04DF">
        <w:rPr>
          <w:lang w:val="en-GB" w:eastAsia="zh-CN"/>
        </w:rPr>
        <w:t xml:space="preserve">n Long-Term Global Goal as a Directional </w:t>
      </w:r>
      <w:r w:rsidR="00967A19">
        <w:rPr>
          <w:lang w:val="en-GB" w:eastAsia="zh-CN"/>
        </w:rPr>
        <w:t>Reference</w:t>
      </w:r>
      <w:bookmarkEnd w:id="27"/>
    </w:p>
    <w:p w14:paraId="0F15C48E" w14:textId="1736ED58" w:rsidR="006D0486" w:rsidRDefault="006D0486" w:rsidP="00C221C3">
      <w:pPr>
        <w:spacing w:after="240"/>
        <w:rPr>
          <w:lang w:val="en-GB" w:eastAsia="zh-CN"/>
        </w:rPr>
      </w:pPr>
      <w:r>
        <w:rPr>
          <w:lang w:val="en-GB" w:eastAsia="zh-CN"/>
        </w:rPr>
        <w:t xml:space="preserve">The long-term global goal provides a key </w:t>
      </w:r>
      <w:r w:rsidR="00D2353E">
        <w:rPr>
          <w:lang w:val="en-GB" w:eastAsia="zh-CN"/>
        </w:rPr>
        <w:t>guidance</w:t>
      </w:r>
      <w:r>
        <w:rPr>
          <w:lang w:val="en-GB" w:eastAsia="zh-CN"/>
        </w:rPr>
        <w:t xml:space="preserve"> for national and private sector planning and action. While the Cancun Agreements contain the objective of limiting warming to 2˚C, this </w:t>
      </w:r>
      <w:r>
        <w:rPr>
          <w:lang w:val="en-GB" w:eastAsia="zh-CN"/>
        </w:rPr>
        <w:lastRenderedPageBreak/>
        <w:t xml:space="preserve">reference is imprecise and hortatory. The 2˚C target should be made more precise and operational in the new agreement. </w:t>
      </w:r>
    </w:p>
    <w:p w14:paraId="48C12AC8" w14:textId="34B5C92A" w:rsidR="00CB6F49" w:rsidRPr="006E04DF" w:rsidRDefault="00CB6F49" w:rsidP="00C221C3">
      <w:pPr>
        <w:spacing w:after="240"/>
        <w:rPr>
          <w:lang w:val="en-GB" w:eastAsia="zh-CN"/>
        </w:rPr>
      </w:pPr>
      <w:r w:rsidRPr="006E04DF">
        <w:rPr>
          <w:lang w:val="en-GB" w:eastAsia="zh-CN"/>
        </w:rPr>
        <w:t>According to</w:t>
      </w:r>
      <w:r w:rsidR="006D0486">
        <w:rPr>
          <w:lang w:val="en-GB" w:eastAsia="zh-CN"/>
        </w:rPr>
        <w:t xml:space="preserve"> the</w:t>
      </w:r>
      <w:r w:rsidRPr="006E04DF">
        <w:rPr>
          <w:lang w:val="en-GB" w:eastAsia="zh-CN"/>
        </w:rPr>
        <w:t xml:space="preserve"> IPCC AR5 WGI</w:t>
      </w:r>
      <w:r w:rsidR="0072670E">
        <w:rPr>
          <w:lang w:val="en-GB" w:eastAsia="zh-CN"/>
        </w:rPr>
        <w:t>II</w:t>
      </w:r>
      <w:r w:rsidRPr="006E04DF">
        <w:rPr>
          <w:lang w:val="en-GB" w:eastAsia="zh-CN"/>
        </w:rPr>
        <w:t xml:space="preserve"> report, in order to have a greater tha</w:t>
      </w:r>
      <w:r w:rsidR="00C221C3" w:rsidRPr="006E04DF">
        <w:rPr>
          <w:lang w:val="en-GB" w:eastAsia="zh-CN"/>
        </w:rPr>
        <w:t>n 66% probability of limiting warming</w:t>
      </w:r>
      <w:r w:rsidR="00BB6455">
        <w:rPr>
          <w:lang w:val="en-GB" w:eastAsia="zh-CN"/>
        </w:rPr>
        <w:t xml:space="preserve"> to 2˚C</w:t>
      </w:r>
      <w:r w:rsidR="00C221C3" w:rsidRPr="006E04DF">
        <w:rPr>
          <w:lang w:val="en-GB" w:eastAsia="zh-CN"/>
        </w:rPr>
        <w:t xml:space="preserve">, cumulative emissions need to be kept below 550–1300 </w:t>
      </w:r>
      <w:proofErr w:type="spellStart"/>
      <w:r w:rsidR="00C221C3" w:rsidRPr="006E04DF">
        <w:rPr>
          <w:lang w:val="en-GB" w:eastAsia="zh-CN"/>
        </w:rPr>
        <w:t>Gt</w:t>
      </w:r>
      <w:proofErr w:type="spellEnd"/>
      <w:r w:rsidR="00C221C3" w:rsidRPr="006E04DF">
        <w:rPr>
          <w:lang w:val="en-GB" w:eastAsia="zh-CN"/>
        </w:rPr>
        <w:t xml:space="preserve"> CO</w:t>
      </w:r>
      <w:r w:rsidR="00C221C3" w:rsidRPr="006E04DF">
        <w:rPr>
          <w:vertAlign w:val="subscript"/>
          <w:lang w:val="en-GB" w:eastAsia="zh-CN"/>
        </w:rPr>
        <w:t>2</w:t>
      </w:r>
      <w:r w:rsidR="00C221C3" w:rsidRPr="006E04DF">
        <w:rPr>
          <w:lang w:val="en-GB" w:eastAsia="zh-CN"/>
        </w:rPr>
        <w:t xml:space="preserve"> between 2011 and 2050. </w:t>
      </w:r>
      <w:r w:rsidRPr="006E04DF">
        <w:rPr>
          <w:lang w:val="en-GB" w:eastAsia="zh-CN"/>
        </w:rPr>
        <w:t>This translates to requir</w:t>
      </w:r>
      <w:r w:rsidR="006D0486">
        <w:rPr>
          <w:lang w:val="en-GB" w:eastAsia="zh-CN"/>
        </w:rPr>
        <w:t>ed GHG emissions reduction of 4</w:t>
      </w:r>
      <w:r w:rsidR="0072670E">
        <w:rPr>
          <w:lang w:val="en-GB" w:eastAsia="zh-CN"/>
        </w:rPr>
        <w:t>0</w:t>
      </w:r>
      <w:r w:rsidRPr="006E04DF">
        <w:rPr>
          <w:lang w:val="en-GB" w:eastAsia="zh-CN"/>
        </w:rPr>
        <w:t>%-7</w:t>
      </w:r>
      <w:r w:rsidR="0072670E">
        <w:rPr>
          <w:lang w:val="en-GB" w:eastAsia="zh-CN"/>
        </w:rPr>
        <w:t>0</w:t>
      </w:r>
      <w:r w:rsidRPr="006E04DF">
        <w:rPr>
          <w:lang w:val="en-GB" w:eastAsia="zh-CN"/>
        </w:rPr>
        <w:t xml:space="preserve">% in 2050 relative to 2010. Emissions levels will have to be near zero or below (i.e. negative) by 2100. This will require fundamental changes in </w:t>
      </w:r>
      <w:r w:rsidR="00C221C3" w:rsidRPr="006E04DF">
        <w:rPr>
          <w:lang w:val="en-GB" w:eastAsia="zh-CN"/>
        </w:rPr>
        <w:t xml:space="preserve">all production and consumption systems. </w:t>
      </w:r>
    </w:p>
    <w:p w14:paraId="2B1B6403" w14:textId="254608B3" w:rsidR="003F3D71" w:rsidRPr="006E04DF" w:rsidRDefault="00CB6F49" w:rsidP="003F3D71">
      <w:pPr>
        <w:rPr>
          <w:lang w:val="en-GB" w:eastAsia="zh-CN"/>
        </w:rPr>
      </w:pPr>
      <w:r w:rsidRPr="006E04DF">
        <w:rPr>
          <w:lang w:val="en-GB" w:eastAsia="zh-CN"/>
        </w:rPr>
        <w:t>However,</w:t>
      </w:r>
      <w:r w:rsidR="00BB6455">
        <w:rPr>
          <w:lang w:val="en-GB" w:eastAsia="zh-CN"/>
        </w:rPr>
        <w:t xml:space="preserve"> the</w:t>
      </w:r>
      <w:r w:rsidRPr="006E04DF">
        <w:rPr>
          <w:lang w:val="en-GB" w:eastAsia="zh-CN"/>
        </w:rPr>
        <w:t xml:space="preserve"> IPCC report also recognizes that </w:t>
      </w:r>
      <w:r w:rsidRPr="006E04DF">
        <w:rPr>
          <w:lang w:val="en-GB"/>
        </w:rPr>
        <w:t xml:space="preserve">uncertainties exist across the whole causal chain from socio-economic development, emissions, atmospheric concentrations, </w:t>
      </w:r>
      <w:proofErr w:type="spellStart"/>
      <w:r w:rsidRPr="006E04DF">
        <w:rPr>
          <w:lang w:val="en-GB"/>
        </w:rPr>
        <w:t>radiative</w:t>
      </w:r>
      <w:proofErr w:type="spellEnd"/>
      <w:r w:rsidRPr="006E04DF">
        <w:rPr>
          <w:lang w:val="en-GB"/>
        </w:rPr>
        <w:t xml:space="preserve"> forcing and temperature rise. </w:t>
      </w:r>
      <w:r w:rsidR="003F3D71" w:rsidRPr="006E04DF">
        <w:rPr>
          <w:lang w:val="en-GB"/>
        </w:rPr>
        <w:t>I</w:t>
      </w:r>
      <w:r w:rsidRPr="006E04DF">
        <w:rPr>
          <w:lang w:val="en-GB" w:eastAsia="zh-CN"/>
        </w:rPr>
        <w:t xml:space="preserve">n this regard, </w:t>
      </w:r>
      <w:r w:rsidRPr="006E04DF">
        <w:rPr>
          <w:lang w:val="en-GB"/>
        </w:rPr>
        <w:t>it is difficult to require decision-makers to make precise commitments regarding long-term emission t</w:t>
      </w:r>
      <w:r w:rsidR="003D6305" w:rsidRPr="006E04DF">
        <w:rPr>
          <w:lang w:val="en-GB"/>
        </w:rPr>
        <w:t>rajectories and total emissions</w:t>
      </w:r>
      <w:r w:rsidRPr="006E04DF">
        <w:rPr>
          <w:lang w:val="en-GB" w:eastAsia="zh-CN"/>
        </w:rPr>
        <w:t xml:space="preserve">. </w:t>
      </w:r>
    </w:p>
    <w:p w14:paraId="0CDD9C4D" w14:textId="7ABF08EC" w:rsidR="003D6305" w:rsidRPr="006E04DF" w:rsidRDefault="00CB6F49" w:rsidP="003F3D71">
      <w:pPr>
        <w:rPr>
          <w:lang w:val="en-GB" w:eastAsia="zh-CN"/>
        </w:rPr>
      </w:pPr>
      <w:r w:rsidRPr="006E04DF">
        <w:rPr>
          <w:lang w:val="en-GB" w:eastAsia="zh-CN"/>
        </w:rPr>
        <w:t>Top-down allocation schemes</w:t>
      </w:r>
      <w:r w:rsidR="003F3D71" w:rsidRPr="006E04DF">
        <w:rPr>
          <w:lang w:val="en-GB" w:eastAsia="zh-CN"/>
        </w:rPr>
        <w:t xml:space="preserve"> based on budgets</w:t>
      </w:r>
      <w:r w:rsidRPr="006E04DF">
        <w:rPr>
          <w:lang w:val="en-GB" w:eastAsia="zh-CN"/>
        </w:rPr>
        <w:t xml:space="preserve"> also may not be the most </w:t>
      </w:r>
      <w:proofErr w:type="spellStart"/>
      <w:r w:rsidR="003D6305" w:rsidRPr="006E04DF">
        <w:rPr>
          <w:lang w:val="en-GB" w:eastAsia="zh-CN"/>
        </w:rPr>
        <w:t>favorable</w:t>
      </w:r>
      <w:proofErr w:type="spellEnd"/>
      <w:r w:rsidRPr="006E04DF">
        <w:rPr>
          <w:lang w:val="en-GB" w:eastAsia="zh-CN"/>
        </w:rPr>
        <w:t xml:space="preserve"> means of </w:t>
      </w:r>
      <w:r w:rsidR="003D6305" w:rsidRPr="006E04DF">
        <w:rPr>
          <w:lang w:val="en-GB" w:eastAsia="zh-CN"/>
        </w:rPr>
        <w:t>negotiation</w:t>
      </w:r>
      <w:r w:rsidRPr="006E04DF">
        <w:rPr>
          <w:lang w:val="en-GB" w:eastAsia="zh-CN"/>
        </w:rPr>
        <w:t>, as they create a zero sum bargaining mentality and do not reflect national decision-making processes and circumstances</w:t>
      </w:r>
      <w:r w:rsidR="00BB6455">
        <w:rPr>
          <w:lang w:val="en-GB" w:eastAsia="zh-CN"/>
        </w:rPr>
        <w:t>.</w:t>
      </w:r>
      <w:r w:rsidRPr="006E04DF">
        <w:rPr>
          <w:lang w:val="en-GB" w:eastAsia="zh-CN"/>
        </w:rPr>
        <w:t xml:space="preserve"> </w:t>
      </w:r>
      <w:r w:rsidR="001F2302">
        <w:rPr>
          <w:lang w:val="en-GB" w:eastAsia="zh-CN"/>
        </w:rPr>
        <w:t>Indeed</w:t>
      </w:r>
      <w:r w:rsidRPr="006E04DF">
        <w:rPr>
          <w:lang w:val="en-GB" w:eastAsia="zh-CN"/>
        </w:rPr>
        <w:t>, it has</w:t>
      </w:r>
      <w:r w:rsidR="006D0486">
        <w:rPr>
          <w:lang w:val="en-GB" w:eastAsia="zh-CN"/>
        </w:rPr>
        <w:t xml:space="preserve"> already</w:t>
      </w:r>
      <w:r w:rsidRPr="006E04DF">
        <w:rPr>
          <w:lang w:val="en-GB" w:eastAsia="zh-CN"/>
        </w:rPr>
        <w:t xml:space="preserve"> been accepted that mitigation targets will be ‘nationally-determined’. In this context, the discussion around a global goal should no long</w:t>
      </w:r>
      <w:r w:rsidR="003D6305" w:rsidRPr="006E04DF">
        <w:rPr>
          <w:lang w:val="en-GB" w:eastAsia="zh-CN"/>
        </w:rPr>
        <w:t>er be seen as a basis</w:t>
      </w:r>
      <w:r w:rsidRPr="006E04DF">
        <w:rPr>
          <w:lang w:val="en-GB" w:eastAsia="zh-CN"/>
        </w:rPr>
        <w:t xml:space="preserve"> for allocation, but rather as a directional reference a</w:t>
      </w:r>
      <w:r w:rsidR="003D6305" w:rsidRPr="006E04DF">
        <w:rPr>
          <w:lang w:val="en-GB" w:eastAsia="zh-CN"/>
        </w:rPr>
        <w:t>gainst which global progress must</w:t>
      </w:r>
      <w:r w:rsidRPr="006E04DF">
        <w:rPr>
          <w:lang w:val="en-GB" w:eastAsia="zh-CN"/>
        </w:rPr>
        <w:t xml:space="preserve"> be assessed</w:t>
      </w:r>
      <w:r w:rsidR="008004D8" w:rsidRPr="006E04DF">
        <w:rPr>
          <w:lang w:val="en-GB" w:eastAsia="zh-CN"/>
        </w:rPr>
        <w:t xml:space="preserve"> </w:t>
      </w:r>
      <w:r w:rsidR="001F2302">
        <w:rPr>
          <w:lang w:val="en-GB" w:eastAsia="zh-CN"/>
        </w:rPr>
        <w:t>to identify</w:t>
      </w:r>
      <w:r w:rsidR="001F2302" w:rsidRPr="006E04DF">
        <w:rPr>
          <w:lang w:val="en-GB" w:eastAsia="zh-CN"/>
        </w:rPr>
        <w:t xml:space="preserve"> </w:t>
      </w:r>
      <w:r w:rsidR="008004D8" w:rsidRPr="006E04DF">
        <w:rPr>
          <w:lang w:val="en-GB" w:eastAsia="zh-CN"/>
        </w:rPr>
        <w:t>the gap to be filled to foster enhanced action</w:t>
      </w:r>
      <w:r w:rsidRPr="006E04DF">
        <w:rPr>
          <w:lang w:val="en-GB" w:eastAsia="zh-CN"/>
        </w:rPr>
        <w:t xml:space="preserve">. </w:t>
      </w:r>
      <w:r w:rsidR="003D6305" w:rsidRPr="006E04DF">
        <w:rPr>
          <w:lang w:val="en-GB" w:eastAsia="zh-CN"/>
        </w:rPr>
        <w:t xml:space="preserve">In the context of ‘nationally-determined’ targets, having this reference point is </w:t>
      </w:r>
      <w:r w:rsidR="00F455A7">
        <w:rPr>
          <w:lang w:val="en-GB" w:eastAsia="zh-CN"/>
        </w:rPr>
        <w:t>very important</w:t>
      </w:r>
      <w:r w:rsidR="003D6305" w:rsidRPr="006E04DF">
        <w:rPr>
          <w:lang w:val="en-GB" w:eastAsia="zh-CN"/>
        </w:rPr>
        <w:t xml:space="preserve">. </w:t>
      </w:r>
    </w:p>
    <w:p w14:paraId="1173D880" w14:textId="195E4BF9" w:rsidR="00CB6F49" w:rsidRPr="006E04DF" w:rsidRDefault="00075A62" w:rsidP="00CB6F49">
      <w:pPr>
        <w:spacing w:after="240"/>
        <w:rPr>
          <w:lang w:val="en-GB" w:eastAsia="zh-CN"/>
        </w:rPr>
      </w:pPr>
      <w:r>
        <w:rPr>
          <w:lang w:val="en-GB" w:eastAsia="zh-CN"/>
        </w:rPr>
        <w:t>T</w:t>
      </w:r>
      <w:r w:rsidR="00CB6F49" w:rsidRPr="006E04DF">
        <w:rPr>
          <w:lang w:val="en-GB" w:eastAsia="zh-CN"/>
        </w:rPr>
        <w:t>he 2°C target</w:t>
      </w:r>
      <w:r>
        <w:rPr>
          <w:lang w:val="en-GB" w:eastAsia="zh-CN"/>
        </w:rPr>
        <w:t xml:space="preserve"> in the new agreement</w:t>
      </w:r>
      <w:r w:rsidR="00CB6F49" w:rsidRPr="006E04DF">
        <w:rPr>
          <w:lang w:val="en-GB" w:eastAsia="zh-CN"/>
        </w:rPr>
        <w:t xml:space="preserve"> could therefore be based on the following principles:</w:t>
      </w:r>
    </w:p>
    <w:p w14:paraId="244554BC" w14:textId="30D7718A" w:rsidR="00CB6F49" w:rsidRPr="006E04DF" w:rsidRDefault="00CB6F49" w:rsidP="00CB6F49">
      <w:pPr>
        <w:pStyle w:val="ListParagraph"/>
        <w:numPr>
          <w:ilvl w:val="0"/>
          <w:numId w:val="19"/>
        </w:numPr>
        <w:spacing w:after="240"/>
        <w:rPr>
          <w:lang w:val="en-GB" w:eastAsia="zh-CN"/>
        </w:rPr>
      </w:pPr>
      <w:r w:rsidRPr="006E04DF">
        <w:rPr>
          <w:lang w:val="en-GB" w:eastAsia="zh-CN"/>
        </w:rPr>
        <w:t>It should not be intended as a framework for allocation, but r</w:t>
      </w:r>
      <w:r w:rsidR="0072670E">
        <w:rPr>
          <w:lang w:val="en-GB" w:eastAsia="zh-CN"/>
        </w:rPr>
        <w:t>ather as a directional reference</w:t>
      </w:r>
      <w:r w:rsidRPr="006E04DF">
        <w:rPr>
          <w:lang w:val="en-GB" w:eastAsia="zh-CN"/>
        </w:rPr>
        <w:t xml:space="preserve"> to assess progress at the global level and national contributions</w:t>
      </w:r>
      <w:r w:rsidR="001F2302">
        <w:rPr>
          <w:lang w:val="en-GB" w:eastAsia="zh-CN"/>
        </w:rPr>
        <w:t>.</w:t>
      </w:r>
      <w:r w:rsidRPr="006E04DF">
        <w:rPr>
          <w:lang w:val="en-GB" w:eastAsia="zh-CN"/>
        </w:rPr>
        <w:t xml:space="preserve"> </w:t>
      </w:r>
    </w:p>
    <w:p w14:paraId="12D0668C" w14:textId="01465C1D" w:rsidR="00CB6F49" w:rsidRPr="006E04DF" w:rsidRDefault="00CB6F49" w:rsidP="00CB6F49">
      <w:pPr>
        <w:pStyle w:val="ListParagraph"/>
        <w:numPr>
          <w:ilvl w:val="0"/>
          <w:numId w:val="19"/>
        </w:numPr>
        <w:spacing w:after="240"/>
        <w:rPr>
          <w:lang w:val="en-GB" w:eastAsia="zh-CN"/>
        </w:rPr>
      </w:pPr>
      <w:r w:rsidRPr="006E04DF">
        <w:rPr>
          <w:lang w:val="en-GB" w:eastAsia="zh-CN"/>
        </w:rPr>
        <w:t>It should recognize scientific uncertainties and be based therefore on a risk management approach recognizing the</w:t>
      </w:r>
      <w:r w:rsidR="003F3D71" w:rsidRPr="006E04DF">
        <w:rPr>
          <w:lang w:val="en-GB" w:eastAsia="zh-CN"/>
        </w:rPr>
        <w:t xml:space="preserve"> imperative to avoid</w:t>
      </w:r>
      <w:r w:rsidRPr="006E04DF">
        <w:rPr>
          <w:lang w:val="en-GB" w:eastAsia="zh-CN"/>
        </w:rPr>
        <w:t xml:space="preserve"> risks of higher concentration, delayed action scenarios: increased climate impacts, technology failure notably for negative emissions, and greater costs and social dislocations. </w:t>
      </w:r>
    </w:p>
    <w:p w14:paraId="5FFACFD1" w14:textId="2734D4E1" w:rsidR="00CB6F49" w:rsidRDefault="00703256" w:rsidP="00CB6F49">
      <w:pPr>
        <w:pStyle w:val="ListParagraph"/>
        <w:numPr>
          <w:ilvl w:val="0"/>
          <w:numId w:val="19"/>
        </w:numPr>
        <w:spacing w:after="240"/>
        <w:rPr>
          <w:lang w:val="en-GB" w:eastAsia="zh-CN"/>
        </w:rPr>
      </w:pPr>
      <w:r>
        <w:rPr>
          <w:lang w:val="en-GB" w:eastAsia="zh-CN"/>
        </w:rPr>
        <w:t>It should include</w:t>
      </w:r>
      <w:r w:rsidR="00CB6F49" w:rsidRPr="00CC2866">
        <w:rPr>
          <w:lang w:val="en-GB" w:eastAsia="zh-CN"/>
        </w:rPr>
        <w:t xml:space="preserve"> more precise</w:t>
      </w:r>
      <w:r>
        <w:rPr>
          <w:lang w:val="en-GB" w:eastAsia="zh-CN"/>
        </w:rPr>
        <w:t xml:space="preserve"> directional references</w:t>
      </w:r>
      <w:r w:rsidR="00CB6F49" w:rsidRPr="00CC2866">
        <w:rPr>
          <w:lang w:val="en-GB" w:eastAsia="zh-CN"/>
        </w:rPr>
        <w:t xml:space="preserve"> than the current framing under the Cancun Agreements,</w:t>
      </w:r>
      <w:r>
        <w:rPr>
          <w:lang w:val="en-GB" w:eastAsia="zh-CN"/>
        </w:rPr>
        <w:t xml:space="preserve"> for example by referring to key quantified conclusions of the IPCC regarding the global 2˚C trajectory</w:t>
      </w:r>
      <w:r w:rsidR="00075A62">
        <w:rPr>
          <w:lang w:val="en-GB" w:eastAsia="zh-CN"/>
        </w:rPr>
        <w:t xml:space="preserve"> as a directional reference point</w:t>
      </w:r>
      <w:r>
        <w:rPr>
          <w:lang w:val="en-GB" w:eastAsia="zh-CN"/>
        </w:rPr>
        <w:t xml:space="preserve">.  </w:t>
      </w:r>
    </w:p>
    <w:p w14:paraId="28AE52D2" w14:textId="33511C5E" w:rsidR="00CC2866" w:rsidRDefault="0060381B" w:rsidP="00CB6F49">
      <w:pPr>
        <w:pStyle w:val="ListParagraph"/>
        <w:numPr>
          <w:ilvl w:val="0"/>
          <w:numId w:val="19"/>
        </w:numPr>
        <w:spacing w:after="240"/>
        <w:rPr>
          <w:lang w:val="en-GB" w:eastAsia="zh-CN"/>
        </w:rPr>
      </w:pPr>
      <w:r>
        <w:rPr>
          <w:lang w:val="en-GB" w:eastAsia="zh-CN"/>
        </w:rPr>
        <w:t xml:space="preserve">Subsequent iterations of nationally determined contributions should be taken in the context of </w:t>
      </w:r>
      <w:r w:rsidR="00EC493F">
        <w:rPr>
          <w:lang w:val="en-GB" w:eastAsia="zh-CN"/>
        </w:rPr>
        <w:t xml:space="preserve">the 2˚C target. </w:t>
      </w:r>
      <w:r w:rsidR="00CC2866">
        <w:rPr>
          <w:lang w:val="en-GB" w:eastAsia="zh-CN"/>
        </w:rPr>
        <w:t xml:space="preserve">  </w:t>
      </w:r>
    </w:p>
    <w:p w14:paraId="5DA089A0" w14:textId="0AB95DA6" w:rsidR="00BB6455" w:rsidRDefault="00BB6455" w:rsidP="00CB6F49">
      <w:pPr>
        <w:pStyle w:val="ListParagraph"/>
        <w:numPr>
          <w:ilvl w:val="0"/>
          <w:numId w:val="19"/>
        </w:numPr>
        <w:spacing w:after="240"/>
        <w:rPr>
          <w:lang w:val="en-GB" w:eastAsia="zh-CN"/>
        </w:rPr>
      </w:pPr>
      <w:r>
        <w:rPr>
          <w:lang w:val="en-GB" w:eastAsia="zh-CN"/>
        </w:rPr>
        <w:t xml:space="preserve">Any potential ‘action gap’ between the 2˚C target and nationally determined contributions </w:t>
      </w:r>
      <w:r w:rsidR="00CD209A">
        <w:rPr>
          <w:rFonts w:hint="eastAsia"/>
          <w:lang w:val="en-GB" w:eastAsia="zh-CN"/>
        </w:rPr>
        <w:t>and between the best practice and national</w:t>
      </w:r>
      <w:r w:rsidR="00BE7005">
        <w:rPr>
          <w:lang w:val="en-GB" w:eastAsia="zh-CN"/>
        </w:rPr>
        <w:t>ly</w:t>
      </w:r>
      <w:r w:rsidR="00CD209A">
        <w:rPr>
          <w:rFonts w:hint="eastAsia"/>
          <w:lang w:val="en-GB" w:eastAsia="zh-CN"/>
        </w:rPr>
        <w:t xml:space="preserve"> determined contributions </w:t>
      </w:r>
      <w:r>
        <w:rPr>
          <w:lang w:val="en-GB" w:eastAsia="zh-CN"/>
        </w:rPr>
        <w:t xml:space="preserve">should be filled through an on-going process of reinforced action. This should include </w:t>
      </w:r>
      <w:proofErr w:type="spellStart"/>
      <w:r>
        <w:rPr>
          <w:lang w:val="en-GB" w:eastAsia="zh-CN"/>
        </w:rPr>
        <w:t>sectoral</w:t>
      </w:r>
      <w:proofErr w:type="spellEnd"/>
      <w:r>
        <w:rPr>
          <w:lang w:val="en-GB" w:eastAsia="zh-CN"/>
        </w:rPr>
        <w:t xml:space="preserve"> policy efforts where countries feel that they may be able to put forward more than their nationally-determined contribution.   </w:t>
      </w:r>
    </w:p>
    <w:p w14:paraId="01F1B5CE" w14:textId="4A96CABF" w:rsidR="00061362" w:rsidRPr="006E04DF" w:rsidRDefault="00061362" w:rsidP="00E57618">
      <w:pPr>
        <w:pStyle w:val="Heading2"/>
        <w:rPr>
          <w:lang w:val="en-GB" w:eastAsia="zh-CN"/>
        </w:rPr>
      </w:pPr>
      <w:bookmarkStart w:id="28" w:name="_Toc389461681"/>
      <w:r w:rsidRPr="006E04DF">
        <w:rPr>
          <w:lang w:val="en-GB" w:eastAsia="zh-CN"/>
        </w:rPr>
        <w:t xml:space="preserve">From Targets to </w:t>
      </w:r>
      <w:r w:rsidR="00FF0864">
        <w:rPr>
          <w:lang w:val="en-GB" w:eastAsia="zh-CN"/>
        </w:rPr>
        <w:t>Pathways</w:t>
      </w:r>
      <w:bookmarkEnd w:id="28"/>
      <w:r w:rsidRPr="006E04DF">
        <w:rPr>
          <w:lang w:val="en-GB" w:eastAsia="zh-CN"/>
        </w:rPr>
        <w:t xml:space="preserve"> </w:t>
      </w:r>
    </w:p>
    <w:p w14:paraId="5DAA852D" w14:textId="6D9A7F2A" w:rsidR="00132ADC" w:rsidRPr="006E04DF" w:rsidRDefault="00617D5E" w:rsidP="00132ADC">
      <w:pPr>
        <w:pStyle w:val="Heading3"/>
        <w:rPr>
          <w:lang w:val="en-GB"/>
        </w:rPr>
      </w:pPr>
      <w:bookmarkStart w:id="29" w:name="_Toc389461682"/>
      <w:r>
        <w:rPr>
          <w:lang w:val="en-GB"/>
        </w:rPr>
        <w:t>Low Emissions</w:t>
      </w:r>
      <w:r w:rsidR="00132ADC" w:rsidRPr="006E04DF">
        <w:rPr>
          <w:lang w:val="en-GB"/>
        </w:rPr>
        <w:t xml:space="preserve"> Pathways and Multiple Time Period Targets</w:t>
      </w:r>
      <w:bookmarkEnd w:id="29"/>
      <w:r w:rsidR="00132ADC" w:rsidRPr="006E04DF">
        <w:rPr>
          <w:lang w:val="en-GB"/>
        </w:rPr>
        <w:t xml:space="preserve"> </w:t>
      </w:r>
    </w:p>
    <w:p w14:paraId="03E9E1D1" w14:textId="0DC6487D" w:rsidR="00091CCE" w:rsidRPr="006E04DF" w:rsidRDefault="00132ADC" w:rsidP="00091CCE">
      <w:pPr>
        <w:rPr>
          <w:lang w:val="en-GB"/>
        </w:rPr>
      </w:pPr>
      <w:r w:rsidRPr="006E04DF">
        <w:rPr>
          <w:lang w:val="en-GB"/>
        </w:rPr>
        <w:t xml:space="preserve">As mentioned above, one of the key challenges is creating a dynamic agreement that can be adjusted and strengthened over time. Another challenge is creating a framework that can bridge the </w:t>
      </w:r>
      <w:r w:rsidRPr="006E04DF">
        <w:rPr>
          <w:lang w:val="en-GB"/>
        </w:rPr>
        <w:lastRenderedPageBreak/>
        <w:t>bottom</w:t>
      </w:r>
      <w:r w:rsidR="005A197B">
        <w:rPr>
          <w:lang w:val="en-GB"/>
        </w:rPr>
        <w:t>-</w:t>
      </w:r>
      <w:r w:rsidRPr="006E04DF">
        <w:rPr>
          <w:lang w:val="en-GB"/>
        </w:rPr>
        <w:t>up and top-down dynamic.</w:t>
      </w:r>
      <w:r w:rsidR="00A777F4">
        <w:rPr>
          <w:lang w:val="en-GB"/>
        </w:rPr>
        <w:t xml:space="preserve"> The long-term global target, as argued above, is needed </w:t>
      </w:r>
      <w:r w:rsidR="00091CCE">
        <w:rPr>
          <w:lang w:val="en-GB"/>
        </w:rPr>
        <w:t xml:space="preserve">therefore </w:t>
      </w:r>
      <w:r w:rsidR="00A777F4">
        <w:rPr>
          <w:lang w:val="en-GB"/>
        </w:rPr>
        <w:t>as a directional</w:t>
      </w:r>
      <w:r w:rsidR="005A197B">
        <w:rPr>
          <w:lang w:val="en-GB"/>
        </w:rPr>
        <w:t xml:space="preserve"> reference</w:t>
      </w:r>
      <w:r w:rsidR="00A777F4">
        <w:rPr>
          <w:lang w:val="en-GB"/>
        </w:rPr>
        <w:t>.</w:t>
      </w:r>
      <w:r w:rsidR="00091CCE">
        <w:rPr>
          <w:lang w:val="en-GB"/>
        </w:rPr>
        <w:t xml:space="preserve"> </w:t>
      </w:r>
      <w:r w:rsidR="00091CCE" w:rsidRPr="006E04DF">
        <w:rPr>
          <w:lang w:val="en-GB"/>
        </w:rPr>
        <w:t xml:space="preserve">A </w:t>
      </w:r>
      <w:r w:rsidR="005A197B">
        <w:rPr>
          <w:lang w:val="en-GB"/>
        </w:rPr>
        <w:t>third</w:t>
      </w:r>
      <w:r w:rsidR="00091CCE" w:rsidRPr="006E04DF">
        <w:rPr>
          <w:lang w:val="en-GB"/>
        </w:rPr>
        <w:t xml:space="preserve"> challenge is balancing flexibility and predictability. </w:t>
      </w:r>
    </w:p>
    <w:p w14:paraId="08B2501D" w14:textId="45813CB1" w:rsidR="00132ADC" w:rsidRPr="006E04DF" w:rsidRDefault="00132ADC" w:rsidP="00132ADC">
      <w:pPr>
        <w:rPr>
          <w:lang w:val="en-GB"/>
        </w:rPr>
      </w:pPr>
      <w:r w:rsidRPr="006E04DF">
        <w:rPr>
          <w:lang w:val="en-GB"/>
        </w:rPr>
        <w:t>Discussion</w:t>
      </w:r>
      <w:r w:rsidR="000D6C09">
        <w:rPr>
          <w:lang w:val="en-GB"/>
        </w:rPr>
        <w:t>s</w:t>
      </w:r>
      <w:r w:rsidR="00537CC9">
        <w:rPr>
          <w:lang w:val="en-GB"/>
        </w:rPr>
        <w:t xml:space="preserve"> on the dynamic agreement</w:t>
      </w:r>
      <w:r w:rsidRPr="006E04DF">
        <w:rPr>
          <w:lang w:val="en-GB"/>
        </w:rPr>
        <w:t xml:space="preserve"> are centring around so-called ‘ratchet mechanisms’, which would allow targets to be easily adjusted within commitment periods in order to take into account new information and allow for increased ambition.</w:t>
      </w:r>
      <w:r w:rsidRPr="006E04DF">
        <w:rPr>
          <w:rStyle w:val="FootnoteReference"/>
          <w:lang w:val="en-GB"/>
        </w:rPr>
        <w:footnoteReference w:id="33"/>
      </w:r>
      <w:r w:rsidRPr="006E04DF">
        <w:rPr>
          <w:lang w:val="en-GB"/>
        </w:rPr>
        <w:t xml:space="preserve"> Having this flexibility to revisit existing targets is indeed important. However, a number of factors may prevent the use of such ratchet mechanisms within commitment periods. These include:</w:t>
      </w:r>
    </w:p>
    <w:p w14:paraId="3BB82E4B" w14:textId="77777777" w:rsidR="00132ADC" w:rsidRPr="006E04DF" w:rsidRDefault="00132ADC" w:rsidP="00132ADC">
      <w:pPr>
        <w:pStyle w:val="ListParagraph"/>
        <w:numPr>
          <w:ilvl w:val="0"/>
          <w:numId w:val="14"/>
        </w:numPr>
        <w:rPr>
          <w:lang w:val="en-GB"/>
        </w:rPr>
      </w:pPr>
      <w:r w:rsidRPr="006E04DF">
        <w:rPr>
          <w:lang w:val="en-GB"/>
        </w:rPr>
        <w:t xml:space="preserve">A desire not to prejudge future negotiations. </w:t>
      </w:r>
    </w:p>
    <w:p w14:paraId="23D4D135" w14:textId="77777777" w:rsidR="00132ADC" w:rsidRPr="006E04DF" w:rsidRDefault="00132ADC" w:rsidP="00132ADC">
      <w:pPr>
        <w:pStyle w:val="ListParagraph"/>
        <w:numPr>
          <w:ilvl w:val="0"/>
          <w:numId w:val="14"/>
        </w:numPr>
        <w:rPr>
          <w:lang w:val="en-GB"/>
        </w:rPr>
      </w:pPr>
      <w:r w:rsidRPr="006E04DF">
        <w:rPr>
          <w:lang w:val="en-GB"/>
        </w:rPr>
        <w:t xml:space="preserve">The difficulty of individual revision of targets in the context of a collective action challenge. </w:t>
      </w:r>
    </w:p>
    <w:p w14:paraId="366AAF8D" w14:textId="77777777" w:rsidR="00132ADC" w:rsidRPr="006E04DF" w:rsidRDefault="00132ADC" w:rsidP="00132ADC">
      <w:pPr>
        <w:pStyle w:val="ListParagraph"/>
        <w:numPr>
          <w:ilvl w:val="0"/>
          <w:numId w:val="14"/>
        </w:numPr>
        <w:rPr>
          <w:lang w:val="en-GB"/>
        </w:rPr>
      </w:pPr>
      <w:r w:rsidRPr="006E04DF">
        <w:rPr>
          <w:lang w:val="en-GB"/>
        </w:rPr>
        <w:t xml:space="preserve">The inertia of domestic policy processes, which means that it is difficult to revisit decisions once made. </w:t>
      </w:r>
    </w:p>
    <w:p w14:paraId="35DD9122" w14:textId="77777777" w:rsidR="00132ADC" w:rsidRPr="006E04DF" w:rsidRDefault="00132ADC" w:rsidP="00132ADC">
      <w:pPr>
        <w:pStyle w:val="ListParagraph"/>
        <w:numPr>
          <w:ilvl w:val="0"/>
          <w:numId w:val="14"/>
        </w:numPr>
        <w:rPr>
          <w:lang w:val="en-GB"/>
        </w:rPr>
      </w:pPr>
      <w:r w:rsidRPr="006E04DF">
        <w:rPr>
          <w:lang w:val="en-GB"/>
        </w:rPr>
        <w:t xml:space="preserve">The inertia of infrastructures and technologies, which means that </w:t>
      </w:r>
      <w:proofErr w:type="spellStart"/>
      <w:r w:rsidRPr="006E04DF">
        <w:rPr>
          <w:lang w:val="en-GB"/>
        </w:rPr>
        <w:t>ratcheting</w:t>
      </w:r>
      <w:proofErr w:type="spellEnd"/>
      <w:r w:rsidRPr="006E04DF">
        <w:rPr>
          <w:lang w:val="en-GB"/>
        </w:rPr>
        <w:t xml:space="preserve"> up targets in the </w:t>
      </w:r>
      <w:proofErr w:type="gramStart"/>
      <w:r w:rsidRPr="006E04DF">
        <w:rPr>
          <w:lang w:val="en-GB"/>
        </w:rPr>
        <w:t>short-term</w:t>
      </w:r>
      <w:proofErr w:type="gramEnd"/>
      <w:r w:rsidRPr="006E04DF">
        <w:rPr>
          <w:lang w:val="en-GB"/>
        </w:rPr>
        <w:t xml:space="preserve"> may be difficult. It also means that short-term targets become increasingly irrelevant for economic decision makers, such as investors, as one moves forward in time.  </w:t>
      </w:r>
    </w:p>
    <w:p w14:paraId="1015A82F" w14:textId="77777777" w:rsidR="00132ADC" w:rsidRDefault="00132ADC" w:rsidP="00132ADC">
      <w:pPr>
        <w:rPr>
          <w:b/>
          <w:lang w:val="en-GB"/>
        </w:rPr>
      </w:pPr>
      <w:r w:rsidRPr="006E04DF">
        <w:rPr>
          <w:lang w:val="en-GB"/>
        </w:rPr>
        <w:t xml:space="preserve">For this reason, one of the main strategies for ensuring a dynamic agreement should be to </w:t>
      </w:r>
      <w:r w:rsidRPr="006E04DF">
        <w:rPr>
          <w:b/>
          <w:lang w:val="en-GB"/>
        </w:rPr>
        <w:t xml:space="preserve">create collective, predictable expectations about future negotiation cycles, which can then align domestic policy process and international negotiations. </w:t>
      </w:r>
    </w:p>
    <w:p w14:paraId="2FCB386C" w14:textId="3A7264B3" w:rsidR="00367D51" w:rsidRPr="006E04DF" w:rsidRDefault="00367D51" w:rsidP="00367D51">
      <w:pPr>
        <w:rPr>
          <w:lang w:val="en-GB"/>
        </w:rPr>
      </w:pPr>
      <w:r w:rsidRPr="006E04DF">
        <w:rPr>
          <w:lang w:val="en-GB"/>
        </w:rPr>
        <w:t xml:space="preserve">One option to address both challenges may be a </w:t>
      </w:r>
      <w:r w:rsidRPr="006E04DF">
        <w:rPr>
          <w:b/>
          <w:lang w:val="en-GB"/>
        </w:rPr>
        <w:t>rolling,</w:t>
      </w:r>
      <w:r w:rsidRPr="006E04DF">
        <w:rPr>
          <w:lang w:val="en-GB"/>
        </w:rPr>
        <w:t xml:space="preserve"> </w:t>
      </w:r>
      <w:r w:rsidRPr="006E04DF">
        <w:rPr>
          <w:b/>
          <w:lang w:val="en-GB"/>
        </w:rPr>
        <w:t>multi-year target framework combined with a long-term deep decarbonisation pathway, i.e. an indicative long-term low emissions development strategy.</w:t>
      </w:r>
      <w:r>
        <w:rPr>
          <w:b/>
          <w:lang w:val="en-GB"/>
        </w:rPr>
        <w:t xml:space="preserve"> </w:t>
      </w:r>
      <w:r>
        <w:rPr>
          <w:lang w:val="en-GB"/>
        </w:rPr>
        <w:t xml:space="preserve">These </w:t>
      </w:r>
      <w:r w:rsidR="00F86E3A">
        <w:rPr>
          <w:lang w:val="en-GB"/>
        </w:rPr>
        <w:t>pathways</w:t>
      </w:r>
      <w:r>
        <w:rPr>
          <w:lang w:val="en-GB"/>
        </w:rPr>
        <w:t xml:space="preserve"> can be assessed against the collective goal. At the same time, regular updating can address the balance of certainty and flexibility. </w:t>
      </w:r>
      <w:r w:rsidRPr="006E04DF">
        <w:rPr>
          <w:b/>
          <w:lang w:val="en-GB"/>
        </w:rPr>
        <w:t xml:space="preserve"> </w:t>
      </w:r>
      <w:r w:rsidRPr="006E04DF">
        <w:rPr>
          <w:lang w:val="en-GB"/>
        </w:rPr>
        <w:t xml:space="preserve"> </w:t>
      </w:r>
    </w:p>
    <w:p w14:paraId="182037E4" w14:textId="518DEC1D" w:rsidR="00132ADC" w:rsidRPr="006E04DF" w:rsidRDefault="00132ADC" w:rsidP="00132ADC">
      <w:pPr>
        <w:rPr>
          <w:lang w:val="en-GB"/>
        </w:rPr>
      </w:pPr>
      <w:r w:rsidRPr="006E04DF">
        <w:rPr>
          <w:lang w:val="en-GB"/>
        </w:rPr>
        <w:t xml:space="preserve">This framework would combine the following elements. Firstly, target periods would be pre-defined. There would be an expectation that all countries would propose new targets at a predefined moment for each new period. This would help promote predictability and the alignment of domestic policy processes and the international negotiations. Secondly, countries would propose multi-period targets. Beyond the current target period, the targets proposed for future periods would be more ‘aspirational’, but would at least give an indication of the </w:t>
      </w:r>
      <w:r w:rsidR="00F86E3A">
        <w:rPr>
          <w:lang w:val="en-GB"/>
        </w:rPr>
        <w:t>pathway</w:t>
      </w:r>
      <w:r w:rsidRPr="006E04DF">
        <w:rPr>
          <w:lang w:val="en-GB"/>
        </w:rPr>
        <w:t xml:space="preserve"> being considered. These future targets would be concretized when the current period expires, and the future period is negotiated. This would promote a combination of flexibility to adjust the trajectory over time, while still giving an overall direction of travel.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6"/>
      </w:tblGrid>
      <w:tr w:rsidR="00132ADC" w:rsidRPr="006E04DF" w14:paraId="78AF6A32" w14:textId="77777777" w:rsidTr="001A42DF">
        <w:tc>
          <w:tcPr>
            <w:tcW w:w="9166" w:type="dxa"/>
          </w:tcPr>
          <w:p w14:paraId="270CF0FC" w14:textId="39B3C1CC" w:rsidR="00132ADC" w:rsidRPr="006E04DF" w:rsidRDefault="00132ADC" w:rsidP="001A42DF">
            <w:pPr>
              <w:spacing w:after="200" w:line="276" w:lineRule="auto"/>
              <w:rPr>
                <w:lang w:val="en-GB"/>
              </w:rPr>
            </w:pPr>
            <w:r w:rsidRPr="006E04DF">
              <w:rPr>
                <w:lang w:val="en-GB"/>
              </w:rPr>
              <w:t>Finally, countries would submit deep decarbonisation pathways</w:t>
            </w:r>
            <w:r w:rsidR="00994C36">
              <w:rPr>
                <w:lang w:val="en-GB"/>
              </w:rPr>
              <w:t xml:space="preserve"> (or scenarios)</w:t>
            </w:r>
            <w:r w:rsidRPr="006E04DF">
              <w:rPr>
                <w:lang w:val="en-GB"/>
              </w:rPr>
              <w:t xml:space="preserve">, i.e. to 2050. Climate change is a long-term, collective action challenge. It is essential to start to embed this long-term aspect in national policy planning and private sector </w:t>
            </w:r>
            <w:r w:rsidR="0000554F">
              <w:rPr>
                <w:lang w:val="en-GB"/>
              </w:rPr>
              <w:t>anticipations</w:t>
            </w:r>
            <w:r w:rsidRPr="006E04DF">
              <w:rPr>
                <w:lang w:val="en-GB"/>
              </w:rPr>
              <w:t xml:space="preserve"> of long-term framework conditions. Evidently, given the uncertainties outlined above, it will be difficult for countries to ‘commit’ to an individual long-term </w:t>
            </w:r>
            <w:r w:rsidR="00F86E3A">
              <w:rPr>
                <w:lang w:val="en-GB"/>
              </w:rPr>
              <w:t>pathway</w:t>
            </w:r>
            <w:r w:rsidRPr="006E04DF">
              <w:rPr>
                <w:lang w:val="en-GB"/>
              </w:rPr>
              <w:t>. A simple framework should be developed to allow countries to represent an indicative long-term</w:t>
            </w:r>
            <w:r w:rsidR="00617D5E">
              <w:rPr>
                <w:lang w:val="en-GB"/>
              </w:rPr>
              <w:t xml:space="preserve"> low emissions</w:t>
            </w:r>
            <w:r w:rsidRPr="006E04DF">
              <w:rPr>
                <w:lang w:val="en-GB"/>
              </w:rPr>
              <w:t xml:space="preserve"> pathway to 2050, which can be modified and strengthened every five years, in line with each round of strengthened collective action and the adoption of new short-term targets. This would allow the reflection of learning on </w:t>
            </w:r>
            <w:r w:rsidRPr="006E04DF">
              <w:rPr>
                <w:lang w:val="en-GB"/>
              </w:rPr>
              <w:lastRenderedPageBreak/>
              <w:t xml:space="preserve">policy, technology and global cooperation </w:t>
            </w:r>
            <w:proofErr w:type="gramStart"/>
            <w:r w:rsidRPr="006E04DF">
              <w:rPr>
                <w:lang w:val="en-GB"/>
              </w:rPr>
              <w:t>in each successive iteration</w:t>
            </w:r>
            <w:proofErr w:type="gramEnd"/>
            <w:r w:rsidRPr="006E04DF">
              <w:rPr>
                <w:lang w:val="en-GB"/>
              </w:rPr>
              <w:t xml:space="preserve"> of the</w:t>
            </w:r>
            <w:r w:rsidR="00617D5E">
              <w:rPr>
                <w:lang w:val="en-GB"/>
              </w:rPr>
              <w:t xml:space="preserve"> low emissions </w:t>
            </w:r>
            <w:r w:rsidR="000E2659">
              <w:rPr>
                <w:lang w:val="en-GB"/>
              </w:rPr>
              <w:t>p</w:t>
            </w:r>
            <w:r w:rsidR="000E2659" w:rsidRPr="006E04DF">
              <w:rPr>
                <w:lang w:val="en-GB"/>
              </w:rPr>
              <w:t>athway</w:t>
            </w:r>
            <w:r w:rsidR="000E2659">
              <w:rPr>
                <w:lang w:val="en-GB"/>
              </w:rPr>
              <w:t>s</w:t>
            </w:r>
            <w:r w:rsidRPr="006E04DF">
              <w:rPr>
                <w:lang w:val="en-GB"/>
              </w:rPr>
              <w:t xml:space="preserve">. </w:t>
            </w:r>
            <w:r w:rsidR="0000554F">
              <w:rPr>
                <w:lang w:val="en-GB"/>
              </w:rPr>
              <w:t>T</w:t>
            </w:r>
            <w:r w:rsidRPr="006E04DF">
              <w:rPr>
                <w:lang w:val="en-GB"/>
              </w:rPr>
              <w:t>he 2015 agreement could contain a commitment to submit them before the entry into force of the instrument by 2020</w:t>
            </w:r>
            <w:r w:rsidR="0000554F">
              <w:rPr>
                <w:lang w:val="en-GB"/>
              </w:rPr>
              <w:t xml:space="preserve">, e.g. by 2018 for all countries except Least Developed Countries. </w:t>
            </w:r>
            <w:r w:rsidRPr="006E04DF">
              <w:rPr>
                <w:lang w:val="en-GB"/>
              </w:rPr>
              <w:t xml:space="preserve"> </w:t>
            </w:r>
          </w:p>
          <w:p w14:paraId="3685AE24" w14:textId="71ADBE01" w:rsidR="00132ADC" w:rsidRDefault="00132ADC" w:rsidP="001A42DF">
            <w:pPr>
              <w:spacing w:after="200" w:line="276" w:lineRule="auto"/>
              <w:rPr>
                <w:lang w:val="en-GB"/>
              </w:rPr>
            </w:pPr>
            <w:r w:rsidRPr="006E04DF">
              <w:rPr>
                <w:lang w:val="en-GB"/>
              </w:rPr>
              <w:t xml:space="preserve">The </w:t>
            </w:r>
            <w:r w:rsidR="00617D5E">
              <w:rPr>
                <w:lang w:val="en-GB"/>
              </w:rPr>
              <w:t>low emissions</w:t>
            </w:r>
            <w:r w:rsidRPr="006E04DF">
              <w:rPr>
                <w:lang w:val="en-GB"/>
              </w:rPr>
              <w:t xml:space="preserve"> </w:t>
            </w:r>
            <w:r w:rsidR="000E2659">
              <w:rPr>
                <w:lang w:val="en-GB"/>
              </w:rPr>
              <w:t>p</w:t>
            </w:r>
            <w:r w:rsidRPr="006E04DF">
              <w:rPr>
                <w:lang w:val="en-GB"/>
              </w:rPr>
              <w:t xml:space="preserve">athways would not be legally binding. Their main purpose would be i) to provide a continuous </w:t>
            </w:r>
            <w:r w:rsidR="00994C36">
              <w:rPr>
                <w:lang w:val="en-GB"/>
              </w:rPr>
              <w:t>reference</w:t>
            </w:r>
            <w:r w:rsidRPr="006E04DF">
              <w:rPr>
                <w:lang w:val="en-GB"/>
              </w:rPr>
              <w:t xml:space="preserve"> for short-term efforts; ii) integrate long-term perspectives into policy processes and private sector perceptions</w:t>
            </w:r>
            <w:r w:rsidR="00A52A06">
              <w:rPr>
                <w:lang w:val="en-GB"/>
              </w:rPr>
              <w:t xml:space="preserve"> and anticipations</w:t>
            </w:r>
            <w:r w:rsidRPr="006E04DF">
              <w:rPr>
                <w:lang w:val="en-GB"/>
              </w:rPr>
              <w:t xml:space="preserve"> of framework conditions; iii) provide a framework for sharing information and coordinating key international policy spill-overs, particularly in terms of innovation for key low-carbon technologies. </w:t>
            </w:r>
          </w:p>
          <w:p w14:paraId="41767691" w14:textId="4F00A79A" w:rsidR="00132ADC" w:rsidRPr="006E04DF" w:rsidRDefault="008A4E43" w:rsidP="008A4E43">
            <w:pPr>
              <w:pStyle w:val="Caption"/>
              <w:rPr>
                <w:b w:val="0"/>
                <w:lang w:val="en-GB"/>
              </w:rPr>
            </w:pPr>
            <w:bookmarkStart w:id="30" w:name="_Toc389213004"/>
            <w:r>
              <w:t xml:space="preserve">Figure </w:t>
            </w:r>
            <w:r>
              <w:fldChar w:fldCharType="begin"/>
            </w:r>
            <w:r>
              <w:instrText xml:space="preserve"> SEQ Figure \* ARABIC </w:instrText>
            </w:r>
            <w:r>
              <w:fldChar w:fldCharType="separate"/>
            </w:r>
            <w:r w:rsidR="007C2EAD">
              <w:rPr>
                <w:noProof/>
              </w:rPr>
              <w:t>8</w:t>
            </w:r>
            <w:r>
              <w:fldChar w:fldCharType="end"/>
            </w:r>
            <w:r w:rsidRPr="008A4E43">
              <w:t>:</w:t>
            </w:r>
            <w:r w:rsidR="00132ADC" w:rsidRPr="008A4E43">
              <w:t xml:space="preserve"> deep </w:t>
            </w:r>
            <w:proofErr w:type="spellStart"/>
            <w:r w:rsidR="00132ADC" w:rsidRPr="008A4E43">
              <w:t>decarbonisation</w:t>
            </w:r>
            <w:proofErr w:type="spellEnd"/>
            <w:r w:rsidR="00132ADC" w:rsidRPr="008A4E43">
              <w:t xml:space="preserve"> pathways plus a ‘five-plus-five’ predictable target period structure</w:t>
            </w:r>
            <w:bookmarkEnd w:id="30"/>
            <w:r w:rsidR="00132ADC" w:rsidRPr="006E04DF">
              <w:rPr>
                <w:b w:val="0"/>
                <w:lang w:val="en-GB"/>
              </w:rPr>
              <w:t xml:space="preserve"> </w:t>
            </w:r>
          </w:p>
        </w:tc>
      </w:tr>
      <w:tr w:rsidR="00132ADC" w:rsidRPr="006E04DF" w14:paraId="531500BA" w14:textId="77777777" w:rsidTr="001A42DF">
        <w:tc>
          <w:tcPr>
            <w:tcW w:w="9166" w:type="dxa"/>
          </w:tcPr>
          <w:p w14:paraId="7C89F1FA" w14:textId="77777777" w:rsidR="00132ADC" w:rsidRPr="006E04DF" w:rsidRDefault="00132ADC" w:rsidP="001A42DF">
            <w:pPr>
              <w:rPr>
                <w:lang w:val="en-GB"/>
              </w:rPr>
            </w:pPr>
            <w:r w:rsidRPr="006E04DF">
              <w:rPr>
                <w:noProof/>
                <w:lang w:val="fr-FR" w:eastAsia="fr-FR"/>
              </w:rPr>
              <w:lastRenderedPageBreak/>
              <w:drawing>
                <wp:inline distT="0" distB="0" distL="0" distR="0" wp14:anchorId="77AC2380" wp14:editId="21DAD944">
                  <wp:extent cx="4952390" cy="234973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52390" cy="2349734"/>
                          </a:xfrm>
                          <a:prstGeom prst="rect">
                            <a:avLst/>
                          </a:prstGeom>
                        </pic:spPr>
                      </pic:pic>
                    </a:graphicData>
                  </a:graphic>
                </wp:inline>
              </w:drawing>
            </w:r>
          </w:p>
        </w:tc>
      </w:tr>
      <w:tr w:rsidR="00132ADC" w:rsidRPr="006E04DF" w14:paraId="3FAFD044" w14:textId="77777777" w:rsidTr="001A42DF">
        <w:tc>
          <w:tcPr>
            <w:tcW w:w="9166" w:type="dxa"/>
          </w:tcPr>
          <w:p w14:paraId="67C9B19D" w14:textId="77777777" w:rsidR="00132ADC" w:rsidRPr="006E04DF" w:rsidRDefault="00132ADC" w:rsidP="008A4E43">
            <w:pPr>
              <w:keepNext/>
              <w:rPr>
                <w:i/>
                <w:lang w:val="en-GB"/>
              </w:rPr>
            </w:pPr>
            <w:r w:rsidRPr="006E04DF">
              <w:rPr>
                <w:i/>
                <w:lang w:val="en-GB"/>
              </w:rPr>
              <w:t xml:space="preserve">Source: Authors </w:t>
            </w:r>
          </w:p>
        </w:tc>
      </w:tr>
    </w:tbl>
    <w:p w14:paraId="2BEF1C61" w14:textId="77777777" w:rsidR="008A4E43" w:rsidRDefault="008A4E43" w:rsidP="00132ADC">
      <w:pPr>
        <w:rPr>
          <w:lang w:val="en-GB"/>
        </w:rPr>
      </w:pPr>
    </w:p>
    <w:p w14:paraId="5C824D90" w14:textId="77777777" w:rsidR="00132ADC" w:rsidRPr="006E04DF" w:rsidRDefault="00132ADC" w:rsidP="00132ADC">
      <w:pPr>
        <w:rPr>
          <w:lang w:val="en-GB"/>
        </w:rPr>
      </w:pPr>
      <w:r w:rsidRPr="006E04DF">
        <w:rPr>
          <w:lang w:val="en-GB"/>
        </w:rPr>
        <w:t>Several elements should be underscored within this framework:</w:t>
      </w:r>
    </w:p>
    <w:p w14:paraId="0DE66E0C" w14:textId="08BCF102" w:rsidR="00132ADC" w:rsidRPr="006E04DF" w:rsidRDefault="00132ADC" w:rsidP="00132ADC">
      <w:pPr>
        <w:pStyle w:val="ListParagraph"/>
        <w:numPr>
          <w:ilvl w:val="0"/>
          <w:numId w:val="15"/>
        </w:numPr>
        <w:rPr>
          <w:lang w:val="en-GB"/>
        </w:rPr>
      </w:pPr>
      <w:r w:rsidRPr="006E04DF">
        <w:rPr>
          <w:lang w:val="en-GB"/>
        </w:rPr>
        <w:t>Targets would continue to be nationally-determined</w:t>
      </w:r>
      <w:r w:rsidR="008A4E43">
        <w:rPr>
          <w:lang w:val="en-GB"/>
        </w:rPr>
        <w:t xml:space="preserve">. </w:t>
      </w:r>
      <w:r w:rsidRPr="006E04DF">
        <w:rPr>
          <w:lang w:val="en-GB"/>
        </w:rPr>
        <w:t xml:space="preserve"> </w:t>
      </w:r>
    </w:p>
    <w:p w14:paraId="5C1888F1" w14:textId="3A976CD6" w:rsidR="00132ADC" w:rsidRPr="006E04DF" w:rsidRDefault="00132ADC" w:rsidP="00132ADC">
      <w:pPr>
        <w:pStyle w:val="ListParagraph"/>
        <w:numPr>
          <w:ilvl w:val="0"/>
          <w:numId w:val="15"/>
        </w:numPr>
        <w:rPr>
          <w:lang w:val="en-GB"/>
        </w:rPr>
      </w:pPr>
      <w:r w:rsidRPr="006E04DF">
        <w:rPr>
          <w:lang w:val="en-GB"/>
        </w:rPr>
        <w:t>There would be an expectation that countries would continue to make increased efforts over time. This would set the overall direction of travel, and help to create more predictability. In addition, the development of longer-term</w:t>
      </w:r>
      <w:r w:rsidR="00617D5E">
        <w:rPr>
          <w:lang w:val="en-GB"/>
        </w:rPr>
        <w:t xml:space="preserve"> low emissions p</w:t>
      </w:r>
      <w:r w:rsidR="00A52A06">
        <w:rPr>
          <w:lang w:val="en-GB"/>
        </w:rPr>
        <w:t xml:space="preserve">athways </w:t>
      </w:r>
      <w:r w:rsidRPr="006E04DF">
        <w:rPr>
          <w:lang w:val="en-GB"/>
        </w:rPr>
        <w:t xml:space="preserve">would introduce a yardstick to assess progress towards long-term targets.  </w:t>
      </w:r>
    </w:p>
    <w:p w14:paraId="344A6370" w14:textId="53767D18" w:rsidR="00132ADC" w:rsidRPr="006E04DF" w:rsidRDefault="00132ADC" w:rsidP="00132ADC">
      <w:pPr>
        <w:pStyle w:val="ListParagraph"/>
        <w:numPr>
          <w:ilvl w:val="0"/>
          <w:numId w:val="15"/>
        </w:numPr>
        <w:rPr>
          <w:lang w:val="en-GB"/>
        </w:rPr>
      </w:pPr>
      <w:r w:rsidRPr="006E04DF">
        <w:rPr>
          <w:lang w:val="en-GB"/>
        </w:rPr>
        <w:t>Countries would be free to choose the nature of the targets that they set in future periods. However, there would be a minimum expectation that each country would be required to set a hard target for the period ‘year x + 5’ to ‘year x + 10’, and an indicative target for ‘year x + 10’ to ‘year x + 15’. This may help to bridge differences between countries who would like to see 2025 as the target year for the 2015 negotiations, and those who would like to see 2030.</w:t>
      </w:r>
    </w:p>
    <w:p w14:paraId="24D58A05" w14:textId="10265755" w:rsidR="00132ADC" w:rsidRPr="006E04DF" w:rsidRDefault="00132ADC" w:rsidP="00132ADC">
      <w:pPr>
        <w:pStyle w:val="ListParagraph"/>
        <w:numPr>
          <w:ilvl w:val="0"/>
          <w:numId w:val="15"/>
        </w:numPr>
        <w:rPr>
          <w:lang w:val="en-GB"/>
        </w:rPr>
      </w:pPr>
      <w:r w:rsidRPr="006E04DF">
        <w:rPr>
          <w:lang w:val="en-GB"/>
        </w:rPr>
        <w:t>As mentioned, countries would be encouraged to be as comprehensive and long-term</w:t>
      </w:r>
      <w:r w:rsidR="001676D5">
        <w:rPr>
          <w:lang w:val="en-GB"/>
        </w:rPr>
        <w:t xml:space="preserve"> as possible</w:t>
      </w:r>
      <w:r w:rsidRPr="006E04DF">
        <w:rPr>
          <w:lang w:val="en-GB"/>
        </w:rPr>
        <w:t xml:space="preserve"> in the submission of their indicative</w:t>
      </w:r>
      <w:r w:rsidR="00A52A06">
        <w:rPr>
          <w:lang w:val="en-GB"/>
        </w:rPr>
        <w:t>,</w:t>
      </w:r>
      <w:r w:rsidRPr="006E04DF">
        <w:rPr>
          <w:lang w:val="en-GB"/>
        </w:rPr>
        <w:t xml:space="preserve"> long-term</w:t>
      </w:r>
      <w:r w:rsidR="00A52A06">
        <w:rPr>
          <w:lang w:val="en-GB"/>
        </w:rPr>
        <w:t xml:space="preserve"> </w:t>
      </w:r>
      <w:r w:rsidR="00617D5E">
        <w:rPr>
          <w:lang w:val="en-GB"/>
        </w:rPr>
        <w:t>low emissions</w:t>
      </w:r>
      <w:r w:rsidR="001676D5">
        <w:rPr>
          <w:lang w:val="en-GB"/>
        </w:rPr>
        <w:t xml:space="preserve"> pathways</w:t>
      </w:r>
      <w:r w:rsidR="00A52A06">
        <w:rPr>
          <w:lang w:val="en-GB"/>
        </w:rPr>
        <w:t>.</w:t>
      </w:r>
      <w:r w:rsidRPr="006E04DF">
        <w:rPr>
          <w:lang w:val="en-GB"/>
        </w:rPr>
        <w:t xml:space="preserve"> However, understandably capacity to do so would need to be built up over time.</w:t>
      </w:r>
      <w:r w:rsidR="00A52A06">
        <w:rPr>
          <w:lang w:val="en-GB"/>
        </w:rPr>
        <w:t xml:space="preserve"> As a minimum, major emitters would be expected to submit the first iteration of their</w:t>
      </w:r>
      <w:r w:rsidR="00617D5E">
        <w:rPr>
          <w:lang w:val="en-GB"/>
        </w:rPr>
        <w:t xml:space="preserve"> low emissions pathways</w:t>
      </w:r>
      <w:r w:rsidR="001676D5">
        <w:rPr>
          <w:lang w:val="en-GB"/>
        </w:rPr>
        <w:t xml:space="preserve"> </w:t>
      </w:r>
      <w:r w:rsidR="00A52A06">
        <w:rPr>
          <w:lang w:val="en-GB"/>
        </w:rPr>
        <w:t xml:space="preserve">by 2018. </w:t>
      </w:r>
      <w:r w:rsidRPr="006E04DF">
        <w:rPr>
          <w:lang w:val="en-GB"/>
        </w:rPr>
        <w:t xml:space="preserve">  </w:t>
      </w:r>
    </w:p>
    <w:p w14:paraId="2F1C9C7D" w14:textId="47B83964" w:rsidR="00132ADC" w:rsidRPr="006E04DF" w:rsidRDefault="00132ADC" w:rsidP="00BA0EDC">
      <w:pPr>
        <w:rPr>
          <w:b/>
          <w:lang w:val="en-GB"/>
        </w:rPr>
      </w:pPr>
      <w:r w:rsidRPr="006E04DF">
        <w:rPr>
          <w:b/>
          <w:lang w:val="en-GB"/>
        </w:rPr>
        <w:t xml:space="preserve">There is a need to shift out of the ‘target mentality’ and towards an understanding of climate change as the challenge of shifting long-term social, technological and infrastructural </w:t>
      </w:r>
      <w:r w:rsidR="00296908">
        <w:rPr>
          <w:b/>
          <w:lang w:val="en-GB"/>
        </w:rPr>
        <w:t>pathways</w:t>
      </w:r>
      <w:r w:rsidRPr="006E04DF">
        <w:rPr>
          <w:b/>
          <w:lang w:val="en-GB"/>
        </w:rPr>
        <w:t xml:space="preserve">. </w:t>
      </w:r>
      <w:r w:rsidRPr="006E04DF">
        <w:rPr>
          <w:b/>
          <w:lang w:val="en-GB"/>
        </w:rPr>
        <w:lastRenderedPageBreak/>
        <w:t>This complex, uncertain transition is difficult to summarize as single ‘number’. A combination of targets</w:t>
      </w:r>
      <w:r w:rsidR="006D5030">
        <w:rPr>
          <w:b/>
          <w:lang w:val="en-GB"/>
        </w:rPr>
        <w:t xml:space="preserve"> and </w:t>
      </w:r>
      <w:r w:rsidR="00296908">
        <w:rPr>
          <w:b/>
          <w:lang w:val="en-GB"/>
        </w:rPr>
        <w:t>pathway</w:t>
      </w:r>
      <w:r w:rsidR="00F744DF">
        <w:rPr>
          <w:rFonts w:hint="eastAsia"/>
          <w:b/>
          <w:lang w:val="en-GB" w:eastAsia="zh-CN"/>
        </w:rPr>
        <w:t>s</w:t>
      </w:r>
      <w:r w:rsidRPr="006E04DF">
        <w:rPr>
          <w:b/>
          <w:lang w:val="en-GB"/>
        </w:rPr>
        <w:t xml:space="preserve"> is required to capture the full range of necessary action and policy effort</w:t>
      </w:r>
      <w:r w:rsidR="00296908">
        <w:rPr>
          <w:b/>
          <w:lang w:val="en-GB"/>
        </w:rPr>
        <w:t>, and balance predictability and flexibility</w:t>
      </w:r>
      <w:r w:rsidRPr="006E04DF">
        <w:rPr>
          <w:b/>
          <w:lang w:val="en-GB"/>
        </w:rPr>
        <w:t xml:space="preserve">. </w:t>
      </w:r>
      <w:r w:rsidR="006D5030">
        <w:rPr>
          <w:b/>
          <w:lang w:val="en-GB"/>
        </w:rPr>
        <w:t>The agreement should in</w:t>
      </w:r>
      <w:r w:rsidRPr="006E04DF">
        <w:rPr>
          <w:b/>
          <w:lang w:val="en-GB"/>
        </w:rPr>
        <w:t>clude long-term, indicative</w:t>
      </w:r>
      <w:r w:rsidR="00617D5E">
        <w:rPr>
          <w:b/>
          <w:lang w:val="en-GB"/>
        </w:rPr>
        <w:t xml:space="preserve"> low emissions</w:t>
      </w:r>
      <w:r w:rsidRPr="006E04DF">
        <w:rPr>
          <w:b/>
          <w:lang w:val="en-GB"/>
        </w:rPr>
        <w:t xml:space="preserve"> </w:t>
      </w:r>
      <w:r w:rsidR="001676D5">
        <w:rPr>
          <w:b/>
          <w:lang w:val="en-GB"/>
        </w:rPr>
        <w:t>p</w:t>
      </w:r>
      <w:r w:rsidR="001676D5" w:rsidRPr="006E04DF">
        <w:rPr>
          <w:b/>
          <w:lang w:val="en-GB"/>
        </w:rPr>
        <w:t>athways</w:t>
      </w:r>
      <w:r w:rsidRPr="006E04DF">
        <w:rPr>
          <w:b/>
          <w:lang w:val="en-GB"/>
        </w:rPr>
        <w:t xml:space="preserve">, which can be updated, </w:t>
      </w:r>
      <w:r w:rsidR="006D5030">
        <w:rPr>
          <w:b/>
          <w:lang w:val="en-GB"/>
        </w:rPr>
        <w:t>refined and reinforced over time</w:t>
      </w:r>
      <w:r w:rsidRPr="006E04DF">
        <w:rPr>
          <w:b/>
          <w:lang w:val="en-GB"/>
        </w:rPr>
        <w:t>.</w:t>
      </w:r>
      <w:r w:rsidR="006D5030">
        <w:rPr>
          <w:b/>
          <w:lang w:val="en-GB"/>
        </w:rPr>
        <w:t xml:space="preserve"> These should be complemented by multi-period </w:t>
      </w:r>
      <w:r w:rsidR="00BA133C">
        <w:rPr>
          <w:b/>
          <w:lang w:val="en-GB"/>
        </w:rPr>
        <w:t>targets, to create stable, predictable expectations about future cycles</w:t>
      </w:r>
      <w:r w:rsidR="001676D5">
        <w:rPr>
          <w:b/>
          <w:lang w:val="en-GB"/>
        </w:rPr>
        <w:t xml:space="preserve"> of collective action</w:t>
      </w:r>
      <w:r w:rsidR="00BA133C">
        <w:rPr>
          <w:b/>
          <w:lang w:val="en-GB"/>
        </w:rPr>
        <w:t xml:space="preserve">. </w:t>
      </w:r>
      <w:r w:rsidRPr="006E04DF">
        <w:rPr>
          <w:b/>
          <w:lang w:val="en-GB"/>
        </w:rPr>
        <w:t xml:space="preserve">      </w:t>
      </w:r>
    </w:p>
    <w:p w14:paraId="427CA8DE" w14:textId="3A7E9ACA" w:rsidR="00C0678D" w:rsidRPr="006E04DF" w:rsidRDefault="00B0328E" w:rsidP="00FE3489">
      <w:pPr>
        <w:pStyle w:val="Heading3"/>
        <w:rPr>
          <w:lang w:val="en-GB"/>
        </w:rPr>
      </w:pPr>
      <w:bookmarkStart w:id="31" w:name="_Toc389461683"/>
      <w:r w:rsidRPr="006E04DF">
        <w:rPr>
          <w:lang w:val="en-GB"/>
        </w:rPr>
        <w:t>Target</w:t>
      </w:r>
      <w:r w:rsidR="00E81789" w:rsidRPr="006E04DF">
        <w:rPr>
          <w:lang w:val="en-GB"/>
        </w:rPr>
        <w:t xml:space="preserve"> Packages: Multi-T</w:t>
      </w:r>
      <w:r w:rsidR="00C0678D" w:rsidRPr="006E04DF">
        <w:rPr>
          <w:lang w:val="en-GB"/>
        </w:rPr>
        <w:t>ier, Multi-Sector Targets</w:t>
      </w:r>
      <w:bookmarkEnd w:id="31"/>
      <w:r w:rsidR="00E81789" w:rsidRPr="006E04DF">
        <w:rPr>
          <w:lang w:val="en-GB"/>
        </w:rPr>
        <w:t xml:space="preserve"> </w:t>
      </w:r>
      <w:r w:rsidR="00C0678D" w:rsidRPr="006E04DF">
        <w:rPr>
          <w:lang w:val="en-GB"/>
        </w:rPr>
        <w:t xml:space="preserve"> </w:t>
      </w:r>
    </w:p>
    <w:p w14:paraId="4367231E" w14:textId="787A0E3E" w:rsidR="00E7719B" w:rsidRPr="006E04DF" w:rsidRDefault="00C0678D" w:rsidP="00C0678D">
      <w:pPr>
        <w:rPr>
          <w:lang w:val="en-GB"/>
        </w:rPr>
      </w:pPr>
      <w:r w:rsidRPr="006E04DF">
        <w:rPr>
          <w:lang w:val="en-GB"/>
        </w:rPr>
        <w:t>In order to accommodate the diversity of countries; take into account the complexity and uncertainty of climate policy as a long-term structural challenge; and allow for predictability and flexibility, we propose a multi-tier target structure. As contributions will be nationally determined, countries will be free to</w:t>
      </w:r>
      <w:r w:rsidR="00A80F82">
        <w:rPr>
          <w:lang w:val="en-GB"/>
        </w:rPr>
        <w:t xml:space="preserve"> select which tier they belong in. There would be an expectation that countries fill in as many tiers as they are able to. </w:t>
      </w:r>
      <w:r w:rsidRPr="006E04DF">
        <w:rPr>
          <w:lang w:val="en-GB"/>
        </w:rPr>
        <w:t xml:space="preserve">There would be an expectation that countries would not decrease the stringency of the tier in which they place themselves, and would gradually increase it over time. The tiers are as follows: </w:t>
      </w:r>
    </w:p>
    <w:p w14:paraId="66BB00E6" w14:textId="4926F2D4" w:rsidR="00C0678D" w:rsidRPr="006E04DF" w:rsidRDefault="00C0678D" w:rsidP="00C0678D">
      <w:pPr>
        <w:pStyle w:val="ListParagraph"/>
        <w:numPr>
          <w:ilvl w:val="0"/>
          <w:numId w:val="13"/>
        </w:numPr>
        <w:rPr>
          <w:lang w:val="en-GB"/>
        </w:rPr>
      </w:pPr>
      <w:r w:rsidRPr="006E04DF">
        <w:rPr>
          <w:lang w:val="en-GB"/>
        </w:rPr>
        <w:t>Tier one: absolute, economy-wide targets relative to a predefined base-year</w:t>
      </w:r>
      <w:r w:rsidR="006B0F31" w:rsidRPr="006E04DF">
        <w:rPr>
          <w:lang w:val="en-GB" w:eastAsia="zh-CN"/>
        </w:rPr>
        <w:t xml:space="preserve">/period, including both absolute reduction or </w:t>
      </w:r>
      <w:r w:rsidR="00F321B9" w:rsidRPr="006E04DF">
        <w:rPr>
          <w:lang w:val="en-GB" w:eastAsia="zh-CN"/>
        </w:rPr>
        <w:t xml:space="preserve">absolute growth </w:t>
      </w:r>
      <w:r w:rsidR="006B0F31" w:rsidRPr="006E04DF">
        <w:rPr>
          <w:lang w:val="en-GB" w:eastAsia="zh-CN"/>
        </w:rPr>
        <w:t>target</w:t>
      </w:r>
      <w:r w:rsidR="0029386A">
        <w:rPr>
          <w:lang w:val="en-GB" w:eastAsia="zh-CN"/>
        </w:rPr>
        <w:t>s</w:t>
      </w:r>
      <w:r w:rsidR="00DB2EC2">
        <w:rPr>
          <w:lang w:val="en-GB" w:eastAsia="zh-CN"/>
        </w:rPr>
        <w:t xml:space="preserve"> (e.g. for emerging countries)</w:t>
      </w:r>
      <w:r w:rsidR="006B0F31" w:rsidRPr="006E04DF">
        <w:rPr>
          <w:lang w:val="en-GB" w:eastAsia="zh-CN"/>
        </w:rPr>
        <w:t>, or aspirational peaking target</w:t>
      </w:r>
      <w:r w:rsidR="0029386A">
        <w:rPr>
          <w:lang w:val="en-GB" w:eastAsia="zh-CN"/>
        </w:rPr>
        <w:t>s</w:t>
      </w:r>
      <w:r w:rsidR="006B0F31" w:rsidRPr="006E04DF">
        <w:rPr>
          <w:lang w:val="en-GB" w:eastAsia="zh-CN"/>
        </w:rPr>
        <w:t xml:space="preserve">; </w:t>
      </w:r>
    </w:p>
    <w:p w14:paraId="2F1E70F1" w14:textId="3DFD7EB2" w:rsidR="00E636CE" w:rsidRPr="006E04DF" w:rsidRDefault="00C0678D" w:rsidP="00C0678D">
      <w:pPr>
        <w:pStyle w:val="ListParagraph"/>
        <w:numPr>
          <w:ilvl w:val="0"/>
          <w:numId w:val="13"/>
        </w:numPr>
        <w:rPr>
          <w:lang w:val="en-GB"/>
        </w:rPr>
      </w:pPr>
      <w:r w:rsidRPr="006E04DF">
        <w:rPr>
          <w:lang w:val="en-GB"/>
        </w:rPr>
        <w:t>Tier two: relative, economy-wide targets agai</w:t>
      </w:r>
      <w:r w:rsidR="00A80F82">
        <w:rPr>
          <w:lang w:val="en-GB"/>
        </w:rPr>
        <w:t>nst GDP (carbon intensity)</w:t>
      </w:r>
      <w:r w:rsidRPr="006E04DF">
        <w:rPr>
          <w:lang w:val="en-GB"/>
        </w:rPr>
        <w:t xml:space="preserve"> </w:t>
      </w:r>
      <w:r w:rsidR="006B0F31" w:rsidRPr="006E04DF">
        <w:rPr>
          <w:lang w:val="en-GB" w:eastAsia="zh-CN"/>
        </w:rPr>
        <w:t>or population</w:t>
      </w:r>
      <w:r w:rsidR="00A80F82">
        <w:rPr>
          <w:lang w:val="en-GB" w:eastAsia="zh-CN"/>
        </w:rPr>
        <w:t xml:space="preserve"> (per capita)</w:t>
      </w:r>
      <w:r w:rsidR="00AC7E2A">
        <w:rPr>
          <w:lang w:val="en-GB" w:eastAsia="zh-CN"/>
        </w:rPr>
        <w:t xml:space="preserve"> or against</w:t>
      </w:r>
      <w:r w:rsidR="00DB2EC2">
        <w:rPr>
          <w:lang w:val="en-GB" w:eastAsia="zh-CN"/>
        </w:rPr>
        <w:t xml:space="preserve"> </w:t>
      </w:r>
      <w:r w:rsidR="00DB2EC2">
        <w:rPr>
          <w:i/>
          <w:lang w:val="en-GB" w:eastAsia="zh-CN"/>
        </w:rPr>
        <w:t xml:space="preserve">ex ante </w:t>
      </w:r>
      <w:r w:rsidR="00DB2EC2" w:rsidRPr="00617D5E">
        <w:rPr>
          <w:lang w:val="en-GB" w:eastAsia="zh-CN"/>
        </w:rPr>
        <w:t>defined</w:t>
      </w:r>
      <w:r w:rsidR="00AC7E2A">
        <w:rPr>
          <w:lang w:val="en-GB" w:eastAsia="zh-CN"/>
        </w:rPr>
        <w:t xml:space="preserve"> BAU</w:t>
      </w:r>
      <w:r w:rsidR="006B0F31" w:rsidRPr="006E04DF">
        <w:rPr>
          <w:lang w:val="en-GB" w:eastAsia="zh-CN"/>
        </w:rPr>
        <w:t>;</w:t>
      </w:r>
    </w:p>
    <w:p w14:paraId="2C090612" w14:textId="77777777" w:rsidR="003D6305" w:rsidRDefault="00E636CE" w:rsidP="003D6305">
      <w:pPr>
        <w:pStyle w:val="ListParagraph"/>
        <w:numPr>
          <w:ilvl w:val="0"/>
          <w:numId w:val="13"/>
        </w:numPr>
        <w:rPr>
          <w:lang w:val="en-GB"/>
        </w:rPr>
      </w:pPr>
      <w:r w:rsidRPr="006E04DF">
        <w:rPr>
          <w:lang w:val="en-GB"/>
        </w:rPr>
        <w:t>Tier three: quan</w:t>
      </w:r>
      <w:r w:rsidR="007714C7" w:rsidRPr="006E04DF">
        <w:rPr>
          <w:lang w:val="en-GB"/>
        </w:rPr>
        <w:t>titative or qualitative</w:t>
      </w:r>
      <w:r w:rsidRPr="006E04DF">
        <w:rPr>
          <w:lang w:val="en-GB"/>
        </w:rPr>
        <w:t xml:space="preserve"> </w:t>
      </w:r>
      <w:proofErr w:type="spellStart"/>
      <w:r w:rsidR="00AA7F0B" w:rsidRPr="006E04DF">
        <w:rPr>
          <w:lang w:val="en-GB"/>
        </w:rPr>
        <w:t>sectoral</w:t>
      </w:r>
      <w:proofErr w:type="spellEnd"/>
      <w:r w:rsidR="00AA7F0B" w:rsidRPr="006E04DF">
        <w:rPr>
          <w:lang w:val="en-GB"/>
        </w:rPr>
        <w:t xml:space="preserve"> </w:t>
      </w:r>
      <w:r w:rsidR="00E5050D" w:rsidRPr="006E04DF">
        <w:rPr>
          <w:lang w:val="en-GB"/>
        </w:rPr>
        <w:t>indicators</w:t>
      </w:r>
      <w:r w:rsidR="00AA7F0B" w:rsidRPr="006E04DF">
        <w:rPr>
          <w:lang w:val="en-GB"/>
        </w:rPr>
        <w:t xml:space="preserve">, targets or policies. </w:t>
      </w:r>
    </w:p>
    <w:p w14:paraId="36F0AFB6" w14:textId="22B45A65" w:rsidR="001E3A14" w:rsidRDefault="0029386A" w:rsidP="0029386A">
      <w:pPr>
        <w:rPr>
          <w:lang w:val="en-GB"/>
        </w:rPr>
      </w:pPr>
      <w:r>
        <w:rPr>
          <w:lang w:val="en-GB"/>
        </w:rPr>
        <w:t xml:space="preserve">Countries with still growing emissions </w:t>
      </w:r>
      <w:r w:rsidR="008649DB">
        <w:rPr>
          <w:lang w:val="en-GB"/>
        </w:rPr>
        <w:t>c</w:t>
      </w:r>
      <w:r>
        <w:rPr>
          <w:lang w:val="en-GB"/>
        </w:rPr>
        <w:t>ould take on absolute growth target</w:t>
      </w:r>
      <w:r w:rsidR="008E64A1">
        <w:rPr>
          <w:lang w:val="en-GB"/>
        </w:rPr>
        <w:t>s or BAU targets</w:t>
      </w:r>
      <w:r w:rsidR="008649DB">
        <w:rPr>
          <w:lang w:val="en-GB"/>
        </w:rPr>
        <w:t xml:space="preserve"> or intensity targets</w:t>
      </w:r>
      <w:r>
        <w:rPr>
          <w:lang w:val="en-GB"/>
        </w:rPr>
        <w:t>.</w:t>
      </w:r>
      <w:r w:rsidR="008E64A1">
        <w:rPr>
          <w:lang w:val="en-GB"/>
        </w:rPr>
        <w:t xml:space="preserve"> Provided that </w:t>
      </w:r>
      <w:r w:rsidR="008E64A1" w:rsidRPr="00BA0EDC">
        <w:rPr>
          <w:i/>
          <w:lang w:val="en-GB"/>
        </w:rPr>
        <w:t>ex ante</w:t>
      </w:r>
      <w:r w:rsidR="008E64A1">
        <w:rPr>
          <w:lang w:val="en-GB"/>
        </w:rPr>
        <w:t xml:space="preserve"> information is given about the level of BAU, targets against BAU are substantively no different from absolute growth targets. </w:t>
      </w:r>
    </w:p>
    <w:p w14:paraId="52D02F92" w14:textId="68659E07" w:rsidR="001E3A14" w:rsidRDefault="001E3A14" w:rsidP="0029386A">
      <w:pPr>
        <w:rPr>
          <w:lang w:val="en-GB"/>
        </w:rPr>
      </w:pPr>
      <w:r>
        <w:rPr>
          <w:lang w:val="en-GB"/>
        </w:rPr>
        <w:t>The table below presents an example template for the three target tiers, and the information that countries would be required to fill in for each tier. This information is crucial to ensure the credibility, transparency, and accountability of targets.</w:t>
      </w:r>
      <w:r w:rsidR="00D26BE1">
        <w:rPr>
          <w:lang w:val="en-GB"/>
        </w:rPr>
        <w:t xml:space="preserve"> </w:t>
      </w:r>
    </w:p>
    <w:p w14:paraId="53D325E8" w14:textId="6F62A436" w:rsidR="00D26BE1" w:rsidRDefault="0029386A" w:rsidP="0029386A">
      <w:pPr>
        <w:rPr>
          <w:lang w:val="en-GB"/>
        </w:rPr>
      </w:pPr>
      <w:r>
        <w:rPr>
          <w:lang w:val="en-GB"/>
        </w:rPr>
        <w:t xml:space="preserve"> </w:t>
      </w:r>
    </w:p>
    <w:p w14:paraId="7CC13249" w14:textId="77777777" w:rsidR="00F0133B" w:rsidRDefault="00F0133B" w:rsidP="0029386A">
      <w:pPr>
        <w:rPr>
          <w:lang w:val="en-GB"/>
        </w:rPr>
      </w:pPr>
    </w:p>
    <w:p w14:paraId="1AB3231E" w14:textId="77777777" w:rsidR="00F0133B" w:rsidRDefault="00F0133B" w:rsidP="0029386A">
      <w:pPr>
        <w:rPr>
          <w:lang w:val="en-GB"/>
        </w:rPr>
      </w:pPr>
    </w:p>
    <w:p w14:paraId="6556EE78" w14:textId="77777777" w:rsidR="00F0133B" w:rsidRDefault="00F0133B" w:rsidP="0029386A">
      <w:pPr>
        <w:rPr>
          <w:lang w:val="en-GB"/>
        </w:rPr>
      </w:pPr>
    </w:p>
    <w:p w14:paraId="530750C0" w14:textId="77777777" w:rsidR="00F0133B" w:rsidRDefault="00F0133B" w:rsidP="0029386A">
      <w:pPr>
        <w:rPr>
          <w:lang w:val="en-GB"/>
        </w:rPr>
      </w:pPr>
    </w:p>
    <w:p w14:paraId="3DDF8AEB" w14:textId="0306996D" w:rsidR="00E5050D" w:rsidRPr="006E04DF" w:rsidRDefault="008C4355" w:rsidP="008C4355">
      <w:pPr>
        <w:pStyle w:val="Caption"/>
        <w:keepNext/>
        <w:rPr>
          <w:b w:val="0"/>
          <w:lang w:val="en-GB"/>
        </w:rPr>
      </w:pPr>
      <w:bookmarkStart w:id="32" w:name="_Toc389213007"/>
      <w:r>
        <w:t xml:space="preserve">Table </w:t>
      </w:r>
      <w:r>
        <w:fldChar w:fldCharType="begin"/>
      </w:r>
      <w:r>
        <w:instrText xml:space="preserve"> SEQ Table \* ARABIC </w:instrText>
      </w:r>
      <w:r>
        <w:fldChar w:fldCharType="separate"/>
      </w:r>
      <w:r>
        <w:t>2</w:t>
      </w:r>
      <w:r>
        <w:fldChar w:fldCharType="end"/>
      </w:r>
      <w:r>
        <w:t xml:space="preserve">: </w:t>
      </w:r>
      <w:r w:rsidR="008A4E43" w:rsidRPr="008C4355">
        <w:t>target template for the three tiers</w:t>
      </w:r>
      <w:r w:rsidR="00B35995">
        <w:rPr>
          <w:rStyle w:val="FootnoteReference"/>
          <w:b w:val="0"/>
          <w:lang w:val="en-GB"/>
        </w:rPr>
        <w:footnoteReference w:id="34"/>
      </w:r>
      <w:bookmarkEnd w:id="32"/>
      <w:r w:rsidR="00E5050D" w:rsidRPr="006E04DF">
        <w:rPr>
          <w:b w:val="0"/>
          <w:lang w:val="en-GB"/>
        </w:rPr>
        <w:t xml:space="preserve"> </w:t>
      </w:r>
    </w:p>
    <w:tbl>
      <w:tblPr>
        <w:tblStyle w:val="TableGrid"/>
        <w:tblW w:w="9990" w:type="dxa"/>
        <w:jc w:val="center"/>
        <w:tblLayout w:type="fixed"/>
        <w:tblLook w:val="04A0" w:firstRow="1" w:lastRow="0" w:firstColumn="1" w:lastColumn="0" w:noHBand="0" w:noVBand="1"/>
      </w:tblPr>
      <w:tblGrid>
        <w:gridCol w:w="1668"/>
        <w:gridCol w:w="1275"/>
        <w:gridCol w:w="1532"/>
        <w:gridCol w:w="1565"/>
        <w:gridCol w:w="21"/>
        <w:gridCol w:w="1520"/>
        <w:gridCol w:w="1559"/>
        <w:gridCol w:w="850"/>
      </w:tblGrid>
      <w:tr w:rsidR="008B111F" w:rsidRPr="006E04DF" w14:paraId="4DA41CE8" w14:textId="77777777" w:rsidTr="000D7EC0">
        <w:trPr>
          <w:jc w:val="center"/>
        </w:trPr>
        <w:tc>
          <w:tcPr>
            <w:tcW w:w="1668" w:type="dxa"/>
            <w:vMerge w:val="restart"/>
          </w:tcPr>
          <w:p w14:paraId="6DA62FF3" w14:textId="77777777" w:rsidR="00E81789" w:rsidRPr="006E04DF" w:rsidRDefault="008B111F" w:rsidP="00E81789">
            <w:pPr>
              <w:rPr>
                <w:lang w:val="en-GB" w:eastAsia="zh-CN"/>
              </w:rPr>
            </w:pPr>
            <w:r w:rsidRPr="006E04DF">
              <w:rPr>
                <w:lang w:val="en-GB"/>
              </w:rPr>
              <w:t>Tier 1</w:t>
            </w:r>
            <w:r w:rsidR="00E81789" w:rsidRPr="006E04DF">
              <w:rPr>
                <w:lang w:val="en-GB"/>
              </w:rPr>
              <w:t>:</w:t>
            </w:r>
            <w:r w:rsidRPr="006E04DF">
              <w:rPr>
                <w:lang w:val="en-GB"/>
              </w:rPr>
              <w:t xml:space="preserve"> economy-wide absolute targets</w:t>
            </w:r>
            <w:r w:rsidR="00E81789" w:rsidRPr="006E04DF">
              <w:rPr>
                <w:lang w:val="en-GB"/>
              </w:rPr>
              <w:t>:</w:t>
            </w:r>
            <w:r w:rsidR="00E81789" w:rsidRPr="006E04DF">
              <w:rPr>
                <w:lang w:val="en-GB" w:eastAsia="zh-CN"/>
              </w:rPr>
              <w:t xml:space="preserve"> </w:t>
            </w:r>
          </w:p>
          <w:p w14:paraId="329F945F" w14:textId="77777777" w:rsidR="00E81789" w:rsidRPr="006E04DF" w:rsidRDefault="00E81789" w:rsidP="00E81789">
            <w:pPr>
              <w:rPr>
                <w:lang w:val="en-GB" w:eastAsia="zh-CN"/>
              </w:rPr>
            </w:pPr>
            <w:r w:rsidRPr="006E04DF">
              <w:rPr>
                <w:lang w:val="en-GB" w:eastAsia="zh-CN"/>
              </w:rPr>
              <w:lastRenderedPageBreak/>
              <w:t>-ab</w:t>
            </w:r>
            <w:r w:rsidR="008B111F" w:rsidRPr="006E04DF">
              <w:rPr>
                <w:lang w:val="en-GB" w:eastAsia="zh-CN"/>
              </w:rPr>
              <w:t>solute reduction</w:t>
            </w:r>
            <w:r w:rsidRPr="006E04DF">
              <w:rPr>
                <w:lang w:val="en-GB" w:eastAsia="zh-CN"/>
              </w:rPr>
              <w:t xml:space="preserve"> </w:t>
            </w:r>
          </w:p>
          <w:p w14:paraId="4131047A" w14:textId="77777777" w:rsidR="00E81789" w:rsidRPr="006E04DF" w:rsidRDefault="00E81789" w:rsidP="00E81789">
            <w:pPr>
              <w:rPr>
                <w:lang w:val="en-GB" w:eastAsia="zh-CN"/>
              </w:rPr>
            </w:pPr>
            <w:r w:rsidRPr="006E04DF">
              <w:rPr>
                <w:lang w:val="en-GB" w:eastAsia="zh-CN"/>
              </w:rPr>
              <w:t>-absolute growth targets</w:t>
            </w:r>
          </w:p>
          <w:p w14:paraId="7C6D8EDC" w14:textId="34DAD62A" w:rsidR="008B111F" w:rsidRPr="006E04DF" w:rsidRDefault="00E81789" w:rsidP="00E81789">
            <w:pPr>
              <w:rPr>
                <w:lang w:val="en-GB"/>
              </w:rPr>
            </w:pPr>
            <w:r w:rsidRPr="006E04DF">
              <w:rPr>
                <w:lang w:val="en-GB" w:eastAsia="zh-CN"/>
              </w:rPr>
              <w:t>-aspirational peaking targets</w:t>
            </w:r>
          </w:p>
        </w:tc>
        <w:tc>
          <w:tcPr>
            <w:tcW w:w="1275" w:type="dxa"/>
            <w:vMerge w:val="restart"/>
          </w:tcPr>
          <w:p w14:paraId="120E86A2" w14:textId="7E885918" w:rsidR="008B111F" w:rsidRPr="006E04DF" w:rsidRDefault="008B111F" w:rsidP="005D487C">
            <w:pPr>
              <w:rPr>
                <w:lang w:val="en-GB" w:eastAsia="zh-CN"/>
              </w:rPr>
            </w:pPr>
            <w:r w:rsidRPr="006E04DF">
              <w:rPr>
                <w:lang w:val="en-GB" w:eastAsia="zh-CN"/>
              </w:rPr>
              <w:lastRenderedPageBreak/>
              <w:t>Target</w:t>
            </w:r>
          </w:p>
        </w:tc>
        <w:tc>
          <w:tcPr>
            <w:tcW w:w="1532" w:type="dxa"/>
          </w:tcPr>
          <w:p w14:paraId="524FC04E" w14:textId="4FCEF0EB" w:rsidR="008B111F" w:rsidRPr="006E04DF" w:rsidRDefault="008B111F" w:rsidP="005D487C">
            <w:pPr>
              <w:rPr>
                <w:lang w:val="en-GB"/>
              </w:rPr>
            </w:pPr>
            <w:r w:rsidRPr="006E04DF">
              <w:rPr>
                <w:lang w:val="en-GB"/>
              </w:rPr>
              <w:t>Time period: base year and end date(s)</w:t>
            </w:r>
          </w:p>
        </w:tc>
        <w:tc>
          <w:tcPr>
            <w:tcW w:w="1586" w:type="dxa"/>
            <w:gridSpan w:val="2"/>
          </w:tcPr>
          <w:p w14:paraId="589146CD" w14:textId="50FD434F" w:rsidR="008B111F" w:rsidRPr="006E04DF" w:rsidRDefault="008B111F" w:rsidP="005D487C">
            <w:pPr>
              <w:rPr>
                <w:lang w:val="en-GB"/>
              </w:rPr>
            </w:pPr>
            <w:r w:rsidRPr="006E04DF">
              <w:rPr>
                <w:lang w:val="en-GB"/>
              </w:rPr>
              <w:t>Coverage: gases, sectors, GWP</w:t>
            </w:r>
          </w:p>
        </w:tc>
        <w:tc>
          <w:tcPr>
            <w:tcW w:w="1520" w:type="dxa"/>
          </w:tcPr>
          <w:p w14:paraId="585617D7" w14:textId="1F0C02AC" w:rsidR="008B111F" w:rsidRPr="006E04DF" w:rsidRDefault="008B111F" w:rsidP="005D487C">
            <w:pPr>
              <w:rPr>
                <w:lang w:val="en-GB"/>
              </w:rPr>
            </w:pPr>
            <w:r w:rsidRPr="006E04DF">
              <w:rPr>
                <w:lang w:val="en-GB"/>
              </w:rPr>
              <w:t xml:space="preserve">Accounting: approach to the land sector and use </w:t>
            </w:r>
            <w:r w:rsidRPr="006E04DF">
              <w:rPr>
                <w:lang w:val="en-GB"/>
              </w:rPr>
              <w:lastRenderedPageBreak/>
              <w:t>of markets</w:t>
            </w:r>
          </w:p>
        </w:tc>
        <w:tc>
          <w:tcPr>
            <w:tcW w:w="1559" w:type="dxa"/>
          </w:tcPr>
          <w:p w14:paraId="79DD661F" w14:textId="2ACF3336" w:rsidR="008B111F" w:rsidRPr="006E04DF" w:rsidRDefault="008B111F" w:rsidP="005D487C">
            <w:pPr>
              <w:rPr>
                <w:lang w:val="en-GB"/>
              </w:rPr>
            </w:pPr>
            <w:r w:rsidRPr="006E04DF">
              <w:rPr>
                <w:lang w:val="en-GB"/>
              </w:rPr>
              <w:lastRenderedPageBreak/>
              <w:t xml:space="preserve">Anticipated national emissions at end of time </w:t>
            </w:r>
            <w:r w:rsidRPr="006E04DF">
              <w:rPr>
                <w:lang w:val="en-GB"/>
              </w:rPr>
              <w:lastRenderedPageBreak/>
              <w:t>period</w:t>
            </w:r>
          </w:p>
        </w:tc>
        <w:tc>
          <w:tcPr>
            <w:tcW w:w="850" w:type="dxa"/>
            <w:vMerge w:val="restart"/>
          </w:tcPr>
          <w:p w14:paraId="3DA3BD5B" w14:textId="07A15926" w:rsidR="008B111F" w:rsidRPr="006E04DF" w:rsidRDefault="0040770F" w:rsidP="006B0F31">
            <w:pPr>
              <w:rPr>
                <w:lang w:val="en-GB" w:eastAsia="zh-CN"/>
              </w:rPr>
            </w:pPr>
            <w:proofErr w:type="spellStart"/>
            <w:r>
              <w:rPr>
                <w:lang w:val="en-GB" w:eastAsia="zh-CN"/>
              </w:rPr>
              <w:lastRenderedPageBreak/>
              <w:t>Self clarification</w:t>
            </w:r>
            <w:proofErr w:type="spellEnd"/>
            <w:r>
              <w:rPr>
                <w:lang w:val="en-GB" w:eastAsia="zh-CN"/>
              </w:rPr>
              <w:t xml:space="preserve"> of </w:t>
            </w:r>
            <w:r w:rsidR="008B111F" w:rsidRPr="006E04DF">
              <w:rPr>
                <w:lang w:val="en-GB" w:eastAsia="zh-CN"/>
              </w:rPr>
              <w:lastRenderedPageBreak/>
              <w:t>Equity and ambition of targets</w:t>
            </w:r>
          </w:p>
        </w:tc>
      </w:tr>
      <w:tr w:rsidR="008B111F" w:rsidRPr="006E04DF" w14:paraId="7025C862" w14:textId="06A82B8B" w:rsidTr="00E81789">
        <w:trPr>
          <w:trHeight w:val="1200"/>
          <w:jc w:val="center"/>
        </w:trPr>
        <w:tc>
          <w:tcPr>
            <w:tcW w:w="1668" w:type="dxa"/>
            <w:vMerge/>
          </w:tcPr>
          <w:p w14:paraId="131CE35B" w14:textId="69894D3E" w:rsidR="008B111F" w:rsidRPr="006E04DF" w:rsidRDefault="008B111F" w:rsidP="00F321B9">
            <w:pPr>
              <w:rPr>
                <w:lang w:val="en-GB" w:eastAsia="zh-CN"/>
              </w:rPr>
            </w:pPr>
          </w:p>
        </w:tc>
        <w:tc>
          <w:tcPr>
            <w:tcW w:w="1275" w:type="dxa"/>
            <w:vMerge/>
          </w:tcPr>
          <w:p w14:paraId="74AA3DDE" w14:textId="0AA4A637" w:rsidR="008B111F" w:rsidRPr="006E04DF" w:rsidRDefault="008B111F" w:rsidP="005D487C">
            <w:pPr>
              <w:rPr>
                <w:lang w:val="en-GB" w:eastAsia="zh-CN"/>
              </w:rPr>
            </w:pPr>
          </w:p>
        </w:tc>
        <w:tc>
          <w:tcPr>
            <w:tcW w:w="6197" w:type="dxa"/>
            <w:gridSpan w:val="5"/>
          </w:tcPr>
          <w:p w14:paraId="06EA9369" w14:textId="33B436E9" w:rsidR="008B111F" w:rsidRPr="006E04DF" w:rsidRDefault="008B111F" w:rsidP="00E81789">
            <w:pPr>
              <w:rPr>
                <w:lang w:val="en-GB"/>
              </w:rPr>
            </w:pPr>
            <w:r w:rsidRPr="006E04DF">
              <w:rPr>
                <w:lang w:val="en-GB"/>
              </w:rPr>
              <w:t>Key methodologies for growth targets: population, GDP, energy intensity and emissions projections</w:t>
            </w:r>
          </w:p>
        </w:tc>
        <w:tc>
          <w:tcPr>
            <w:tcW w:w="850" w:type="dxa"/>
            <w:vMerge/>
          </w:tcPr>
          <w:p w14:paraId="7C9B2804" w14:textId="00A8D20F" w:rsidR="008B111F" w:rsidRPr="006E04DF" w:rsidRDefault="008B111F" w:rsidP="006B0F31">
            <w:pPr>
              <w:rPr>
                <w:lang w:val="en-GB" w:eastAsia="zh-CN"/>
              </w:rPr>
            </w:pPr>
          </w:p>
        </w:tc>
      </w:tr>
      <w:tr w:rsidR="008B111F" w:rsidRPr="006E04DF" w14:paraId="3C66E0A1" w14:textId="675B2E51" w:rsidTr="000D7EC0">
        <w:trPr>
          <w:jc w:val="center"/>
        </w:trPr>
        <w:tc>
          <w:tcPr>
            <w:tcW w:w="1668" w:type="dxa"/>
            <w:vMerge w:val="restart"/>
          </w:tcPr>
          <w:p w14:paraId="5F8CA5C6" w14:textId="4A56D04A" w:rsidR="00E81789" w:rsidRPr="006E04DF" w:rsidRDefault="00E81789" w:rsidP="00F321B9">
            <w:pPr>
              <w:rPr>
                <w:lang w:val="en-GB"/>
              </w:rPr>
            </w:pPr>
            <w:r w:rsidRPr="006E04DF">
              <w:rPr>
                <w:lang w:val="en-GB"/>
              </w:rPr>
              <w:t>Tier 2: relative targets:</w:t>
            </w:r>
          </w:p>
          <w:p w14:paraId="53E5C25F" w14:textId="40BBF4E8" w:rsidR="0040770F" w:rsidRDefault="00E81789" w:rsidP="00F321B9">
            <w:pPr>
              <w:rPr>
                <w:lang w:val="en-GB"/>
              </w:rPr>
            </w:pPr>
            <w:r w:rsidRPr="006E04DF">
              <w:rPr>
                <w:lang w:val="en-GB"/>
              </w:rPr>
              <w:t>-</w:t>
            </w:r>
            <w:r w:rsidR="0040770F">
              <w:rPr>
                <w:lang w:val="en-GB"/>
              </w:rPr>
              <w:t>against BAU</w:t>
            </w:r>
          </w:p>
          <w:p w14:paraId="3FE9B19E" w14:textId="3927A399" w:rsidR="00E81789" w:rsidRPr="006E04DF" w:rsidRDefault="0040770F" w:rsidP="00F321B9">
            <w:pPr>
              <w:rPr>
                <w:lang w:val="en-GB"/>
              </w:rPr>
            </w:pPr>
            <w:r>
              <w:rPr>
                <w:lang w:val="en-GB" w:eastAsia="zh-CN"/>
              </w:rPr>
              <w:t>-</w:t>
            </w:r>
            <w:r w:rsidR="008B111F" w:rsidRPr="006E04DF">
              <w:rPr>
                <w:lang w:val="en-GB" w:eastAsia="zh-CN"/>
              </w:rPr>
              <w:t xml:space="preserve">against </w:t>
            </w:r>
            <w:r w:rsidR="008B111F" w:rsidRPr="006E04DF">
              <w:rPr>
                <w:lang w:val="en-GB"/>
              </w:rPr>
              <w:t>GDP</w:t>
            </w:r>
          </w:p>
          <w:p w14:paraId="15E85FE5" w14:textId="77777777" w:rsidR="00E81789" w:rsidRPr="006E04DF" w:rsidRDefault="00E81789" w:rsidP="00E81789">
            <w:pPr>
              <w:rPr>
                <w:lang w:val="en-GB"/>
              </w:rPr>
            </w:pPr>
            <w:r w:rsidRPr="006E04DF">
              <w:rPr>
                <w:lang w:val="en-GB"/>
              </w:rPr>
              <w:t>-against</w:t>
            </w:r>
          </w:p>
          <w:p w14:paraId="74853C01" w14:textId="0EB3948F" w:rsidR="008B111F" w:rsidRPr="006E04DF" w:rsidRDefault="00E81789" w:rsidP="00E81789">
            <w:pPr>
              <w:rPr>
                <w:lang w:val="en-GB"/>
              </w:rPr>
            </w:pPr>
            <w:r w:rsidRPr="006E04DF">
              <w:rPr>
                <w:lang w:val="en-GB"/>
              </w:rPr>
              <w:t xml:space="preserve">population, </w:t>
            </w:r>
            <w:r w:rsidR="008B111F" w:rsidRPr="006E04DF">
              <w:rPr>
                <w:lang w:val="en-GB"/>
              </w:rPr>
              <w:t>i.e. per capita</w:t>
            </w:r>
          </w:p>
        </w:tc>
        <w:tc>
          <w:tcPr>
            <w:tcW w:w="1275" w:type="dxa"/>
            <w:vMerge w:val="restart"/>
          </w:tcPr>
          <w:p w14:paraId="247F3941" w14:textId="0DB662B5" w:rsidR="008B111F" w:rsidRPr="006E04DF" w:rsidRDefault="008B111F" w:rsidP="005D487C">
            <w:pPr>
              <w:rPr>
                <w:lang w:val="en-GB" w:eastAsia="zh-CN"/>
              </w:rPr>
            </w:pPr>
            <w:r w:rsidRPr="006E04DF">
              <w:rPr>
                <w:lang w:val="en-GB" w:eastAsia="zh-CN"/>
              </w:rPr>
              <w:t>Target</w:t>
            </w:r>
          </w:p>
        </w:tc>
        <w:tc>
          <w:tcPr>
            <w:tcW w:w="1532" w:type="dxa"/>
          </w:tcPr>
          <w:p w14:paraId="365BDB7D" w14:textId="25005627" w:rsidR="008B111F" w:rsidRPr="006E04DF" w:rsidRDefault="008B111F" w:rsidP="005D487C">
            <w:pPr>
              <w:rPr>
                <w:lang w:val="en-GB" w:eastAsia="zh-CN"/>
              </w:rPr>
            </w:pPr>
            <w:r w:rsidRPr="006E04DF">
              <w:rPr>
                <w:lang w:val="en-GB"/>
              </w:rPr>
              <w:t>Time period: base year (for CO2 intensity targets</w:t>
            </w:r>
            <w:r w:rsidRPr="006E04DF">
              <w:rPr>
                <w:lang w:val="en-GB" w:eastAsia="zh-CN"/>
              </w:rPr>
              <w:t xml:space="preserve"> or per capita targets</w:t>
            </w:r>
            <w:r w:rsidRPr="006E04DF">
              <w:rPr>
                <w:lang w:val="en-GB"/>
              </w:rPr>
              <w:t>) and end date</w:t>
            </w:r>
            <w:r w:rsidRPr="006E04DF">
              <w:rPr>
                <w:lang w:val="en-GB" w:eastAsia="zh-CN"/>
              </w:rPr>
              <w:t>(s)</w:t>
            </w:r>
          </w:p>
        </w:tc>
        <w:tc>
          <w:tcPr>
            <w:tcW w:w="1586" w:type="dxa"/>
            <w:gridSpan w:val="2"/>
          </w:tcPr>
          <w:p w14:paraId="7D001E40" w14:textId="44D6742B" w:rsidR="008B111F" w:rsidRPr="006E04DF" w:rsidRDefault="008B111F" w:rsidP="005D487C">
            <w:pPr>
              <w:rPr>
                <w:lang w:val="en-GB"/>
              </w:rPr>
            </w:pPr>
            <w:r w:rsidRPr="006E04DF">
              <w:rPr>
                <w:lang w:val="en-GB"/>
              </w:rPr>
              <w:t>Coverage: gases, sectors, GWP</w:t>
            </w:r>
          </w:p>
        </w:tc>
        <w:tc>
          <w:tcPr>
            <w:tcW w:w="1520" w:type="dxa"/>
          </w:tcPr>
          <w:p w14:paraId="08958746" w14:textId="421E4119" w:rsidR="008B111F" w:rsidRPr="006E04DF" w:rsidRDefault="008B111F" w:rsidP="005D487C">
            <w:pPr>
              <w:rPr>
                <w:lang w:val="en-GB"/>
              </w:rPr>
            </w:pPr>
            <w:r w:rsidRPr="006E04DF">
              <w:rPr>
                <w:lang w:val="en-GB"/>
              </w:rPr>
              <w:t>Accounting (opt-in): approach to the land sector and use of markets</w:t>
            </w:r>
          </w:p>
        </w:tc>
        <w:tc>
          <w:tcPr>
            <w:tcW w:w="1559" w:type="dxa"/>
          </w:tcPr>
          <w:p w14:paraId="66077282" w14:textId="77777777" w:rsidR="008B111F" w:rsidRPr="006E04DF" w:rsidDel="002D64A5" w:rsidRDefault="008B111F" w:rsidP="002D64A5">
            <w:pPr>
              <w:rPr>
                <w:lang w:val="en-GB" w:eastAsia="zh-CN"/>
              </w:rPr>
            </w:pPr>
            <w:r w:rsidRPr="006E04DF">
              <w:rPr>
                <w:lang w:val="en-GB"/>
              </w:rPr>
              <w:t>Anticipated emissions at end of time period in absolute terms</w:t>
            </w:r>
            <w:r w:rsidRPr="006E04DF">
              <w:rPr>
                <w:lang w:val="en-GB" w:eastAsia="zh-CN"/>
              </w:rPr>
              <w:t xml:space="preserve">; </w:t>
            </w:r>
          </w:p>
          <w:p w14:paraId="10D7C2BF" w14:textId="09A23132" w:rsidR="008B111F" w:rsidRPr="006E04DF" w:rsidRDefault="008B111F" w:rsidP="00074716">
            <w:pPr>
              <w:rPr>
                <w:lang w:val="en-GB"/>
              </w:rPr>
            </w:pPr>
          </w:p>
          <w:p w14:paraId="6B732BDE" w14:textId="10FAF0CE" w:rsidR="008B111F" w:rsidRPr="006E04DF" w:rsidRDefault="008B111F" w:rsidP="005D487C">
            <w:pPr>
              <w:rPr>
                <w:lang w:val="en-GB" w:eastAsia="zh-CN"/>
              </w:rPr>
            </w:pPr>
          </w:p>
        </w:tc>
        <w:tc>
          <w:tcPr>
            <w:tcW w:w="850" w:type="dxa"/>
            <w:vMerge/>
          </w:tcPr>
          <w:p w14:paraId="300CC5D9" w14:textId="77777777" w:rsidR="008B111F" w:rsidRPr="006E04DF" w:rsidRDefault="008B111F" w:rsidP="006B0F31">
            <w:pPr>
              <w:rPr>
                <w:lang w:val="en-GB"/>
              </w:rPr>
            </w:pPr>
          </w:p>
        </w:tc>
      </w:tr>
      <w:tr w:rsidR="008B111F" w:rsidRPr="006E04DF" w14:paraId="658866F4" w14:textId="750EE94D" w:rsidTr="000D7EC0">
        <w:trPr>
          <w:jc w:val="center"/>
        </w:trPr>
        <w:tc>
          <w:tcPr>
            <w:tcW w:w="1668" w:type="dxa"/>
            <w:vMerge/>
          </w:tcPr>
          <w:p w14:paraId="172AAD11" w14:textId="3DD5E308" w:rsidR="008B111F" w:rsidRPr="006E04DF" w:rsidRDefault="008B111F" w:rsidP="005D487C">
            <w:pPr>
              <w:rPr>
                <w:lang w:val="en-GB"/>
              </w:rPr>
            </w:pPr>
          </w:p>
        </w:tc>
        <w:tc>
          <w:tcPr>
            <w:tcW w:w="1275" w:type="dxa"/>
            <w:vMerge/>
          </w:tcPr>
          <w:p w14:paraId="632CAF91" w14:textId="77777777" w:rsidR="008B111F" w:rsidRPr="006E04DF" w:rsidRDefault="008B111F" w:rsidP="005D487C">
            <w:pPr>
              <w:rPr>
                <w:lang w:val="en-GB"/>
              </w:rPr>
            </w:pPr>
          </w:p>
        </w:tc>
        <w:tc>
          <w:tcPr>
            <w:tcW w:w="6197" w:type="dxa"/>
            <w:gridSpan w:val="5"/>
          </w:tcPr>
          <w:p w14:paraId="25AFD4EE" w14:textId="7351827D" w:rsidR="00E81789" w:rsidRPr="006E04DF" w:rsidRDefault="008B111F" w:rsidP="002D64A5">
            <w:pPr>
              <w:rPr>
                <w:lang w:val="en-GB"/>
              </w:rPr>
            </w:pPr>
            <w:r w:rsidRPr="006E04DF">
              <w:rPr>
                <w:lang w:val="en-GB"/>
              </w:rPr>
              <w:t xml:space="preserve">Key methodologies and assumptions used to project </w:t>
            </w:r>
            <w:r w:rsidRPr="006E04DF">
              <w:rPr>
                <w:lang w:val="en-GB" w:eastAsia="zh-CN"/>
              </w:rPr>
              <w:t>population</w:t>
            </w:r>
            <w:r w:rsidR="0040770F">
              <w:rPr>
                <w:lang w:val="en-GB"/>
              </w:rPr>
              <w:t xml:space="preserve">, </w:t>
            </w:r>
            <w:r w:rsidRPr="006E04DF">
              <w:rPr>
                <w:lang w:val="en-GB"/>
              </w:rPr>
              <w:t>GDP</w:t>
            </w:r>
            <w:r w:rsidR="0040770F">
              <w:rPr>
                <w:lang w:val="en-GB"/>
              </w:rPr>
              <w:t xml:space="preserve"> and BAU</w:t>
            </w:r>
          </w:p>
        </w:tc>
        <w:tc>
          <w:tcPr>
            <w:tcW w:w="850" w:type="dxa"/>
            <w:vMerge/>
          </w:tcPr>
          <w:p w14:paraId="58191626" w14:textId="77777777" w:rsidR="008B111F" w:rsidRPr="006E04DF" w:rsidRDefault="008B111F" w:rsidP="006B0F31">
            <w:pPr>
              <w:rPr>
                <w:lang w:val="en-GB"/>
              </w:rPr>
            </w:pPr>
          </w:p>
        </w:tc>
      </w:tr>
      <w:tr w:rsidR="00AC7E2A" w:rsidRPr="006E04DF" w14:paraId="2FB07A9C" w14:textId="55738E4A" w:rsidTr="000D7EC0">
        <w:trPr>
          <w:jc w:val="center"/>
        </w:trPr>
        <w:tc>
          <w:tcPr>
            <w:tcW w:w="1668" w:type="dxa"/>
            <w:vMerge w:val="restart"/>
          </w:tcPr>
          <w:p w14:paraId="368A952F" w14:textId="1A3C83D3" w:rsidR="00AC7E2A" w:rsidRPr="006E04DF" w:rsidRDefault="00AC7E2A" w:rsidP="00F250A3">
            <w:pPr>
              <w:rPr>
                <w:lang w:val="en-GB"/>
              </w:rPr>
            </w:pPr>
            <w:r w:rsidRPr="006E04DF">
              <w:rPr>
                <w:lang w:val="en-GB"/>
              </w:rPr>
              <w:t xml:space="preserve">Tier 3: </w:t>
            </w:r>
            <w:proofErr w:type="spellStart"/>
            <w:r w:rsidRPr="006E04DF">
              <w:rPr>
                <w:lang w:val="en-GB"/>
              </w:rPr>
              <w:t>sectoral</w:t>
            </w:r>
            <w:proofErr w:type="spellEnd"/>
            <w:r w:rsidRPr="006E04DF">
              <w:rPr>
                <w:lang w:val="en-GB"/>
              </w:rPr>
              <w:t xml:space="preserve"> indicators, targets, policies</w:t>
            </w:r>
          </w:p>
        </w:tc>
        <w:tc>
          <w:tcPr>
            <w:tcW w:w="1275" w:type="dxa"/>
          </w:tcPr>
          <w:p w14:paraId="0A62E5E8" w14:textId="0A06C072" w:rsidR="00AC7E2A" w:rsidRPr="006E04DF" w:rsidRDefault="00AC7E2A" w:rsidP="005D487C">
            <w:pPr>
              <w:rPr>
                <w:lang w:val="en-GB"/>
              </w:rPr>
            </w:pPr>
            <w:r w:rsidRPr="006E04DF">
              <w:rPr>
                <w:lang w:val="en-GB"/>
              </w:rPr>
              <w:t>Energy supply</w:t>
            </w:r>
          </w:p>
        </w:tc>
        <w:tc>
          <w:tcPr>
            <w:tcW w:w="1532" w:type="dxa"/>
          </w:tcPr>
          <w:p w14:paraId="42DA9076" w14:textId="14FB6581" w:rsidR="00AC7E2A" w:rsidRPr="006E04DF" w:rsidRDefault="00AC7E2A" w:rsidP="005D487C">
            <w:pPr>
              <w:rPr>
                <w:lang w:val="en-GB"/>
              </w:rPr>
            </w:pPr>
            <w:r w:rsidRPr="006E04DF">
              <w:rPr>
                <w:lang w:val="en-GB"/>
              </w:rPr>
              <w:t xml:space="preserve">Industry </w:t>
            </w:r>
          </w:p>
        </w:tc>
        <w:tc>
          <w:tcPr>
            <w:tcW w:w="1565" w:type="dxa"/>
          </w:tcPr>
          <w:p w14:paraId="55E4DB7A" w14:textId="06778479" w:rsidR="00AC7E2A" w:rsidRPr="006E04DF" w:rsidRDefault="00AC7E2A" w:rsidP="005D487C">
            <w:pPr>
              <w:rPr>
                <w:lang w:val="en-GB"/>
              </w:rPr>
            </w:pPr>
            <w:r w:rsidRPr="006E04DF">
              <w:rPr>
                <w:lang w:val="en-GB"/>
              </w:rPr>
              <w:t>Transportation</w:t>
            </w:r>
          </w:p>
        </w:tc>
        <w:tc>
          <w:tcPr>
            <w:tcW w:w="1541" w:type="dxa"/>
            <w:gridSpan w:val="2"/>
          </w:tcPr>
          <w:p w14:paraId="62B8A1F1" w14:textId="2683BD66" w:rsidR="00AC7E2A" w:rsidRPr="006E04DF" w:rsidRDefault="00AC7E2A" w:rsidP="005D487C">
            <w:pPr>
              <w:rPr>
                <w:lang w:val="en-GB"/>
              </w:rPr>
            </w:pPr>
            <w:r w:rsidRPr="006E04DF">
              <w:rPr>
                <w:lang w:val="en-GB"/>
              </w:rPr>
              <w:t>Buildings</w:t>
            </w:r>
          </w:p>
        </w:tc>
        <w:tc>
          <w:tcPr>
            <w:tcW w:w="1559" w:type="dxa"/>
          </w:tcPr>
          <w:p w14:paraId="7D89EF5B" w14:textId="65351A08" w:rsidR="00AC7E2A" w:rsidRPr="006E04DF" w:rsidRDefault="00AC7E2A" w:rsidP="005D487C">
            <w:pPr>
              <w:rPr>
                <w:lang w:val="en-GB"/>
              </w:rPr>
            </w:pPr>
            <w:r w:rsidRPr="006E04DF">
              <w:rPr>
                <w:lang w:val="en-GB"/>
              </w:rPr>
              <w:t>Land use</w:t>
            </w:r>
          </w:p>
        </w:tc>
        <w:tc>
          <w:tcPr>
            <w:tcW w:w="850" w:type="dxa"/>
            <w:vMerge/>
          </w:tcPr>
          <w:p w14:paraId="4D268898" w14:textId="77777777" w:rsidR="00AC7E2A" w:rsidRPr="006E04DF" w:rsidRDefault="00AC7E2A" w:rsidP="006B0F31">
            <w:pPr>
              <w:rPr>
                <w:lang w:val="en-GB"/>
              </w:rPr>
            </w:pPr>
          </w:p>
        </w:tc>
      </w:tr>
      <w:tr w:rsidR="00AC7E2A" w:rsidRPr="006E04DF" w14:paraId="0EA3098D" w14:textId="5A5315A5" w:rsidTr="000D7EC0">
        <w:trPr>
          <w:jc w:val="center"/>
        </w:trPr>
        <w:tc>
          <w:tcPr>
            <w:tcW w:w="1668" w:type="dxa"/>
            <w:vMerge/>
          </w:tcPr>
          <w:p w14:paraId="37C7BBCB" w14:textId="77777777" w:rsidR="00AC7E2A" w:rsidRPr="006E04DF" w:rsidRDefault="00AC7E2A" w:rsidP="005D487C">
            <w:pPr>
              <w:rPr>
                <w:lang w:val="en-GB"/>
              </w:rPr>
            </w:pPr>
          </w:p>
        </w:tc>
        <w:tc>
          <w:tcPr>
            <w:tcW w:w="1275" w:type="dxa"/>
          </w:tcPr>
          <w:p w14:paraId="0C251386" w14:textId="24FFCFF0" w:rsidR="00AC7E2A" w:rsidRPr="006E04DF" w:rsidRDefault="00AC7E2A" w:rsidP="005D487C">
            <w:pPr>
              <w:rPr>
                <w:lang w:val="en-GB"/>
              </w:rPr>
            </w:pPr>
            <w:r w:rsidRPr="006E04DF">
              <w:rPr>
                <w:lang w:val="en-GB"/>
              </w:rPr>
              <w:t>Quantification and/or</w:t>
            </w:r>
            <w:r>
              <w:rPr>
                <w:lang w:val="en-GB"/>
              </w:rPr>
              <w:t xml:space="preserve"> policy</w:t>
            </w:r>
            <w:r w:rsidRPr="006E04DF">
              <w:rPr>
                <w:lang w:val="en-GB"/>
              </w:rPr>
              <w:t xml:space="preserve"> description</w:t>
            </w:r>
          </w:p>
        </w:tc>
        <w:tc>
          <w:tcPr>
            <w:tcW w:w="1532" w:type="dxa"/>
          </w:tcPr>
          <w:p w14:paraId="047C2408" w14:textId="672A5BC5" w:rsidR="00AC7E2A" w:rsidRPr="006E04DF" w:rsidRDefault="00AC7E2A" w:rsidP="005D487C">
            <w:pPr>
              <w:rPr>
                <w:lang w:val="en-GB"/>
              </w:rPr>
            </w:pPr>
            <w:r w:rsidRPr="006E04DF">
              <w:rPr>
                <w:lang w:val="en-GB"/>
              </w:rPr>
              <w:t>Quantification and/or policy description</w:t>
            </w:r>
          </w:p>
        </w:tc>
        <w:tc>
          <w:tcPr>
            <w:tcW w:w="1565" w:type="dxa"/>
          </w:tcPr>
          <w:p w14:paraId="297EECBF" w14:textId="219261CA" w:rsidR="00AC7E2A" w:rsidRPr="006E04DF" w:rsidRDefault="00AC7E2A" w:rsidP="005D487C">
            <w:pPr>
              <w:rPr>
                <w:lang w:val="en-GB"/>
              </w:rPr>
            </w:pPr>
            <w:r w:rsidRPr="006E04DF">
              <w:rPr>
                <w:lang w:val="en-GB"/>
              </w:rPr>
              <w:t>Quantification and/or policy description</w:t>
            </w:r>
          </w:p>
        </w:tc>
        <w:tc>
          <w:tcPr>
            <w:tcW w:w="1541" w:type="dxa"/>
            <w:gridSpan w:val="2"/>
          </w:tcPr>
          <w:p w14:paraId="7C7035B7" w14:textId="7FB310E8" w:rsidR="00AC7E2A" w:rsidRPr="006E04DF" w:rsidRDefault="00AC7E2A" w:rsidP="005D487C">
            <w:pPr>
              <w:rPr>
                <w:lang w:val="en-GB"/>
              </w:rPr>
            </w:pPr>
            <w:r w:rsidRPr="006E04DF">
              <w:rPr>
                <w:lang w:val="en-GB"/>
              </w:rPr>
              <w:t>Quantification and/or policy description</w:t>
            </w:r>
          </w:p>
        </w:tc>
        <w:tc>
          <w:tcPr>
            <w:tcW w:w="1559" w:type="dxa"/>
          </w:tcPr>
          <w:p w14:paraId="77C9AA9C" w14:textId="4D2AC525" w:rsidR="00AC7E2A" w:rsidRPr="006E04DF" w:rsidRDefault="00AC7E2A" w:rsidP="005D487C">
            <w:pPr>
              <w:rPr>
                <w:lang w:val="en-GB"/>
              </w:rPr>
            </w:pPr>
            <w:r w:rsidRPr="006E04DF">
              <w:rPr>
                <w:lang w:val="en-GB"/>
              </w:rPr>
              <w:t>Quantification and/or policy description</w:t>
            </w:r>
          </w:p>
        </w:tc>
        <w:tc>
          <w:tcPr>
            <w:tcW w:w="850" w:type="dxa"/>
            <w:vMerge/>
          </w:tcPr>
          <w:p w14:paraId="40724065" w14:textId="77777777" w:rsidR="00AC7E2A" w:rsidRPr="006E04DF" w:rsidRDefault="00AC7E2A" w:rsidP="006B0F31">
            <w:pPr>
              <w:rPr>
                <w:lang w:val="en-GB"/>
              </w:rPr>
            </w:pPr>
          </w:p>
        </w:tc>
      </w:tr>
      <w:tr w:rsidR="00AC7E2A" w:rsidRPr="006E04DF" w14:paraId="01CA10A0" w14:textId="77777777" w:rsidTr="00F455A7">
        <w:trPr>
          <w:jc w:val="center"/>
        </w:trPr>
        <w:tc>
          <w:tcPr>
            <w:tcW w:w="1668" w:type="dxa"/>
            <w:vMerge/>
          </w:tcPr>
          <w:p w14:paraId="32947F03" w14:textId="77777777" w:rsidR="00AC7E2A" w:rsidRPr="006E04DF" w:rsidRDefault="00AC7E2A" w:rsidP="005D487C">
            <w:pPr>
              <w:rPr>
                <w:lang w:val="en-GB"/>
              </w:rPr>
            </w:pPr>
          </w:p>
        </w:tc>
        <w:tc>
          <w:tcPr>
            <w:tcW w:w="7472" w:type="dxa"/>
            <w:gridSpan w:val="6"/>
          </w:tcPr>
          <w:p w14:paraId="1E0F0B4F" w14:textId="17B6B29C" w:rsidR="00AC7E2A" w:rsidRPr="006E04DF" w:rsidRDefault="00AC7E2A" w:rsidP="005D487C">
            <w:pPr>
              <w:rPr>
                <w:lang w:val="en-GB"/>
              </w:rPr>
            </w:pPr>
            <w:r>
              <w:rPr>
                <w:lang w:val="en-GB"/>
              </w:rPr>
              <w:t xml:space="preserve">Cross </w:t>
            </w:r>
            <w:proofErr w:type="spellStart"/>
            <w:r>
              <w:rPr>
                <w:lang w:val="en-GB"/>
              </w:rPr>
              <w:t>sectoral</w:t>
            </w:r>
            <w:proofErr w:type="spellEnd"/>
            <w:r>
              <w:rPr>
                <w:lang w:val="en-GB"/>
              </w:rPr>
              <w:t xml:space="preserve"> policy descriptions or plans if desired </w:t>
            </w:r>
          </w:p>
        </w:tc>
        <w:tc>
          <w:tcPr>
            <w:tcW w:w="850" w:type="dxa"/>
          </w:tcPr>
          <w:p w14:paraId="42318BB9" w14:textId="77777777" w:rsidR="00AC7E2A" w:rsidRPr="006E04DF" w:rsidRDefault="00AC7E2A" w:rsidP="006B0F31">
            <w:pPr>
              <w:rPr>
                <w:lang w:val="en-GB"/>
              </w:rPr>
            </w:pPr>
          </w:p>
        </w:tc>
      </w:tr>
    </w:tbl>
    <w:p w14:paraId="50236E4E" w14:textId="77777777" w:rsidR="00677A0A" w:rsidRPr="006E04DF" w:rsidRDefault="00677A0A" w:rsidP="00E5050D">
      <w:pPr>
        <w:rPr>
          <w:lang w:val="en-GB"/>
        </w:rPr>
      </w:pPr>
    </w:p>
    <w:p w14:paraId="4A3B73EE" w14:textId="6A8C80B6" w:rsidR="00F321B9" w:rsidRPr="006E04DF" w:rsidRDefault="00F321B9" w:rsidP="00E5050D">
      <w:pPr>
        <w:rPr>
          <w:lang w:val="en-GB"/>
        </w:rPr>
      </w:pPr>
      <w:r w:rsidRPr="006E04DF">
        <w:rPr>
          <w:lang w:val="en-GB"/>
        </w:rPr>
        <w:t>This framework can be illustrated with a couple of hypothetical examples:</w:t>
      </w:r>
    </w:p>
    <w:p w14:paraId="0978A237" w14:textId="6736EA3F" w:rsidR="003E1B25" w:rsidRDefault="00F321B9" w:rsidP="00E81789">
      <w:pPr>
        <w:pStyle w:val="ListParagraph"/>
        <w:numPr>
          <w:ilvl w:val="0"/>
          <w:numId w:val="18"/>
        </w:numPr>
        <w:rPr>
          <w:lang w:val="en-GB"/>
        </w:rPr>
      </w:pPr>
      <w:r w:rsidRPr="006E04DF">
        <w:rPr>
          <w:i/>
          <w:lang w:val="en-GB"/>
        </w:rPr>
        <w:t xml:space="preserve">Developed country </w:t>
      </w:r>
      <w:r w:rsidR="0040770F">
        <w:rPr>
          <w:rFonts w:hint="eastAsia"/>
          <w:i/>
          <w:lang w:val="en-GB" w:eastAsia="zh-CN"/>
        </w:rPr>
        <w:t>X</w:t>
      </w:r>
      <w:r w:rsidRPr="006E04DF">
        <w:rPr>
          <w:lang w:val="en-GB"/>
        </w:rPr>
        <w:t>: takes on a</w:t>
      </w:r>
      <w:r w:rsidR="00FF07CC" w:rsidRPr="006E04DF">
        <w:rPr>
          <w:lang w:val="en-GB"/>
        </w:rPr>
        <w:t xml:space="preserve">n absolute, economy wide emissions reduction target (tier 1). In addition, for developed country </w:t>
      </w:r>
      <w:r w:rsidR="0040770F">
        <w:rPr>
          <w:rFonts w:hint="eastAsia"/>
          <w:lang w:val="en-GB" w:eastAsia="zh-CN"/>
        </w:rPr>
        <w:t>X</w:t>
      </w:r>
      <w:r w:rsidR="00D26BE1">
        <w:rPr>
          <w:lang w:val="en-GB"/>
        </w:rPr>
        <w:t>, the roll-</w:t>
      </w:r>
      <w:r w:rsidR="003E1B25" w:rsidRPr="006E04DF">
        <w:rPr>
          <w:lang w:val="en-GB"/>
        </w:rPr>
        <w:t>out of renewable energy</w:t>
      </w:r>
      <w:r w:rsidR="00D26BE1">
        <w:rPr>
          <w:lang w:val="en-GB"/>
        </w:rPr>
        <w:t xml:space="preserve"> and electric vehicles</w:t>
      </w:r>
      <w:r w:rsidR="003E1B25" w:rsidRPr="006E04DF">
        <w:rPr>
          <w:lang w:val="en-GB"/>
        </w:rPr>
        <w:t xml:space="preserve"> is a key measure to implement its </w:t>
      </w:r>
      <w:proofErr w:type="gramStart"/>
      <w:r w:rsidR="003E1B25" w:rsidRPr="006E04DF">
        <w:rPr>
          <w:lang w:val="en-GB"/>
        </w:rPr>
        <w:t>target,</w:t>
      </w:r>
      <w:proofErr w:type="gramEnd"/>
      <w:r w:rsidR="003E1B25" w:rsidRPr="006E04DF">
        <w:rPr>
          <w:lang w:val="en-GB"/>
        </w:rPr>
        <w:t xml:space="preserve"> and it therefore puts forward a renewables target as a share of energy supply</w:t>
      </w:r>
      <w:r w:rsidR="00D26BE1">
        <w:rPr>
          <w:lang w:val="en-GB"/>
        </w:rPr>
        <w:t xml:space="preserve"> and a penetration rate for electric vehicles</w:t>
      </w:r>
      <w:r w:rsidR="00DB2EC2">
        <w:rPr>
          <w:lang w:val="en-GB"/>
        </w:rPr>
        <w:t xml:space="preserve"> or a share of electricity in transport energy consumption</w:t>
      </w:r>
      <w:r w:rsidR="003E1B25" w:rsidRPr="006E04DF">
        <w:rPr>
          <w:lang w:val="en-GB"/>
        </w:rPr>
        <w:t xml:space="preserve"> (tier 3). </w:t>
      </w:r>
    </w:p>
    <w:p w14:paraId="290BC146" w14:textId="7BFC9E31" w:rsidR="0040770F" w:rsidRPr="00BA0EDC" w:rsidRDefault="0040770F" w:rsidP="0040770F">
      <w:pPr>
        <w:pStyle w:val="ListParagraph"/>
        <w:numPr>
          <w:ilvl w:val="0"/>
          <w:numId w:val="18"/>
        </w:numPr>
        <w:rPr>
          <w:lang w:val="en-GB" w:eastAsia="zh-CN"/>
        </w:rPr>
      </w:pPr>
      <w:r w:rsidRPr="006E04DF">
        <w:rPr>
          <w:i/>
          <w:lang w:val="en-GB"/>
        </w:rPr>
        <w:t xml:space="preserve">Emerging country </w:t>
      </w:r>
      <w:r>
        <w:rPr>
          <w:rFonts w:hint="eastAsia"/>
          <w:i/>
          <w:lang w:val="en-GB" w:eastAsia="zh-CN"/>
        </w:rPr>
        <w:t>Y</w:t>
      </w:r>
      <w:r w:rsidRPr="006E04DF">
        <w:rPr>
          <w:lang w:val="en-GB"/>
        </w:rPr>
        <w:t xml:space="preserve">: takes on an aspirational economy-wide peaking target (tier 1), and a firm emissions intensity of GDP target (tier 2). In addition, emerging country </w:t>
      </w:r>
      <w:r w:rsidR="00DB2EC2">
        <w:rPr>
          <w:lang w:val="en-GB"/>
        </w:rPr>
        <w:t>X</w:t>
      </w:r>
      <w:r w:rsidR="00DB2EC2" w:rsidRPr="006E04DF">
        <w:rPr>
          <w:lang w:val="en-GB"/>
        </w:rPr>
        <w:t xml:space="preserve"> </w:t>
      </w:r>
      <w:r w:rsidRPr="006E04DF">
        <w:rPr>
          <w:lang w:val="en-GB"/>
        </w:rPr>
        <w:t xml:space="preserve">has much greater certainty over the control of emissions in certain large industrial sectors, and takes on a </w:t>
      </w:r>
      <w:r>
        <w:rPr>
          <w:lang w:val="en-GB" w:eastAsia="zh-CN"/>
        </w:rPr>
        <w:t>quantitative</w:t>
      </w:r>
      <w:r>
        <w:rPr>
          <w:rFonts w:hint="eastAsia"/>
          <w:lang w:val="en-GB" w:eastAsia="zh-CN"/>
        </w:rPr>
        <w:t xml:space="preserve"> </w:t>
      </w:r>
      <w:r w:rsidRPr="006E04DF">
        <w:rPr>
          <w:lang w:val="en-GB"/>
        </w:rPr>
        <w:t xml:space="preserve">target in these sectors as well as a target for the zero carbon </w:t>
      </w:r>
      <w:proofErr w:type="gramStart"/>
      <w:r w:rsidRPr="006E04DF">
        <w:rPr>
          <w:lang w:val="en-GB"/>
        </w:rPr>
        <w:t>share</w:t>
      </w:r>
      <w:proofErr w:type="gramEnd"/>
      <w:r w:rsidRPr="006E04DF">
        <w:rPr>
          <w:lang w:val="en-GB"/>
        </w:rPr>
        <w:t xml:space="preserve"> in energy supply (tier 3).</w:t>
      </w:r>
    </w:p>
    <w:p w14:paraId="49E751D7" w14:textId="1D1712C1" w:rsidR="00F321B9" w:rsidRPr="006E04DF" w:rsidRDefault="0040770F" w:rsidP="00E81789">
      <w:pPr>
        <w:pStyle w:val="ListParagraph"/>
        <w:numPr>
          <w:ilvl w:val="0"/>
          <w:numId w:val="18"/>
        </w:numPr>
        <w:rPr>
          <w:lang w:val="en-GB"/>
        </w:rPr>
      </w:pPr>
      <w:r>
        <w:rPr>
          <w:rFonts w:hint="eastAsia"/>
          <w:i/>
          <w:lang w:val="en-GB" w:eastAsia="zh-CN"/>
        </w:rPr>
        <w:t>Other d</w:t>
      </w:r>
      <w:r w:rsidR="003E1B25" w:rsidRPr="006E04DF">
        <w:rPr>
          <w:i/>
          <w:lang w:val="en-GB"/>
        </w:rPr>
        <w:t xml:space="preserve">eveloping country </w:t>
      </w:r>
      <w:r>
        <w:rPr>
          <w:rFonts w:hint="eastAsia"/>
          <w:i/>
          <w:lang w:val="en-GB" w:eastAsia="zh-CN"/>
        </w:rPr>
        <w:t>Z</w:t>
      </w:r>
      <w:r w:rsidR="003E1B25" w:rsidRPr="006E04DF">
        <w:rPr>
          <w:lang w:val="en-GB"/>
        </w:rPr>
        <w:t xml:space="preserve">: is not in a position to take on an economy wide target due to its more limited capacity and responsibility. However, it has important programs in renewables and the land-use sector. It therefore puts forward </w:t>
      </w:r>
      <w:proofErr w:type="spellStart"/>
      <w:r w:rsidR="003E1B25" w:rsidRPr="006E04DF">
        <w:rPr>
          <w:lang w:val="en-GB"/>
        </w:rPr>
        <w:t>sectoral</w:t>
      </w:r>
      <w:proofErr w:type="spellEnd"/>
      <w:r w:rsidR="003E1B25" w:rsidRPr="006E04DF">
        <w:rPr>
          <w:lang w:val="en-GB"/>
        </w:rPr>
        <w:t xml:space="preserve"> targets under these sectors (tier 3). </w:t>
      </w:r>
    </w:p>
    <w:p w14:paraId="4E097BE6" w14:textId="026FCF25" w:rsidR="00061362" w:rsidRPr="006E04DF" w:rsidRDefault="00061362" w:rsidP="00E57618">
      <w:pPr>
        <w:pStyle w:val="Heading1"/>
        <w:rPr>
          <w:lang w:val="en-GB"/>
        </w:rPr>
      </w:pPr>
      <w:bookmarkStart w:id="33" w:name="_Toc389461684"/>
      <w:r w:rsidRPr="006E04DF">
        <w:rPr>
          <w:lang w:val="en-GB"/>
        </w:rPr>
        <w:t>Conclusions</w:t>
      </w:r>
      <w:bookmarkEnd w:id="33"/>
      <w:r w:rsidRPr="006E04DF">
        <w:rPr>
          <w:lang w:val="en-GB"/>
        </w:rPr>
        <w:t xml:space="preserve"> </w:t>
      </w:r>
    </w:p>
    <w:p w14:paraId="2AF64406" w14:textId="77777777" w:rsidR="0003258B" w:rsidRDefault="0003258B" w:rsidP="0003258B">
      <w:pPr>
        <w:rPr>
          <w:lang w:val="en-GB"/>
        </w:rPr>
      </w:pPr>
      <w:r w:rsidRPr="00BA0EDC">
        <w:rPr>
          <w:lang w:val="en-GB"/>
        </w:rPr>
        <w:t xml:space="preserve">Countries have agreed to negotiate a new climate agreement by 2015. One of the key elements of this will be a new mitigation framework and new emissions targets for all. </w:t>
      </w:r>
      <w:r w:rsidRPr="00F0133B">
        <w:rPr>
          <w:lang w:val="en-GB"/>
        </w:rPr>
        <w:t xml:space="preserve">Enhanced action is urgently needed to limit warming to 2˚C. Otherwise, development and welfare will be put at significant risk. The new agreement needs to find a way to allow the continuous strengthening of the </w:t>
      </w:r>
      <w:r w:rsidRPr="00F0133B">
        <w:rPr>
          <w:lang w:val="en-GB"/>
        </w:rPr>
        <w:lastRenderedPageBreak/>
        <w:t>action of sovereign states, to reflect the 2˚C objective. The agreement should also recognize the spectrum of countries and changing circumstances, as well as remaining gaps</w:t>
      </w:r>
      <w:r w:rsidRPr="00F0133B">
        <w:rPr>
          <w:rFonts w:hint="eastAsia"/>
          <w:lang w:val="en-GB"/>
        </w:rPr>
        <w:t xml:space="preserve"> between groups</w:t>
      </w:r>
      <w:r w:rsidRPr="00F0133B">
        <w:rPr>
          <w:lang w:val="en-GB"/>
        </w:rPr>
        <w:t xml:space="preserve">. </w:t>
      </w:r>
    </w:p>
    <w:p w14:paraId="4FEF38B1" w14:textId="0C85C1FD" w:rsidR="0003258B" w:rsidRPr="00617D5E" w:rsidRDefault="0003258B" w:rsidP="0003258B">
      <w:pPr>
        <w:rPr>
          <w:lang w:val="en-GB"/>
        </w:rPr>
      </w:pPr>
      <w:r>
        <w:rPr>
          <w:lang w:val="en-GB"/>
        </w:rPr>
        <w:t xml:space="preserve">Mitigation is a long-term structural challenge, involving profound changes in investment, infrastructure, technology and behaviour. Uncertainties in such structural processes may be particularly high in developing or emerging countries still undergoing industrialization, demographic shift, and urbanization. Mastering them requires long-term policy horizons, cooperation, technology innovation and policy learning, focusing on the drivers of emissions reductions. </w:t>
      </w:r>
    </w:p>
    <w:p w14:paraId="275EC87A" w14:textId="0CA8F99D" w:rsidR="0003258B" w:rsidRPr="00BA0EDC" w:rsidRDefault="0003258B" w:rsidP="0003258B">
      <w:pPr>
        <w:rPr>
          <w:lang w:val="en-GB"/>
        </w:rPr>
      </w:pPr>
      <w:r w:rsidRPr="00BA0EDC">
        <w:rPr>
          <w:lang w:val="en-GB"/>
        </w:rPr>
        <w:t>The mitigation framework should consist of a more precise translation of the 2˚C target as a key directional reference</w:t>
      </w:r>
      <w:r>
        <w:rPr>
          <w:lang w:val="en-GB"/>
        </w:rPr>
        <w:t>, but not as the basis for top-down allocation</w:t>
      </w:r>
      <w:r w:rsidRPr="00BA0EDC">
        <w:rPr>
          <w:lang w:val="en-GB"/>
        </w:rPr>
        <w:t>.</w:t>
      </w:r>
      <w:r>
        <w:rPr>
          <w:lang w:val="en-GB"/>
        </w:rPr>
        <w:t xml:space="preserve"> It is essential to integrate the long-term perspective in national policy making, international cooperation, and private sector anticipations. Under the new agreement, countries </w:t>
      </w:r>
      <w:r>
        <w:rPr>
          <w:rFonts w:hint="eastAsia"/>
          <w:lang w:val="en-GB" w:eastAsia="zh-CN"/>
        </w:rPr>
        <w:t xml:space="preserve">except </w:t>
      </w:r>
      <w:r>
        <w:rPr>
          <w:lang w:val="en-GB" w:eastAsia="zh-CN"/>
        </w:rPr>
        <w:t>L</w:t>
      </w:r>
      <w:r>
        <w:rPr>
          <w:rFonts w:hint="eastAsia"/>
          <w:lang w:val="en-GB" w:eastAsia="zh-CN"/>
        </w:rPr>
        <w:t xml:space="preserve">east </w:t>
      </w:r>
      <w:r>
        <w:rPr>
          <w:lang w:val="en-GB" w:eastAsia="zh-CN"/>
        </w:rPr>
        <w:t>Development</w:t>
      </w:r>
      <w:r>
        <w:rPr>
          <w:rFonts w:hint="eastAsia"/>
          <w:lang w:val="en-GB" w:eastAsia="zh-CN"/>
        </w:rPr>
        <w:t xml:space="preserve"> </w:t>
      </w:r>
      <w:r>
        <w:rPr>
          <w:lang w:val="en-GB" w:eastAsia="zh-CN"/>
        </w:rPr>
        <w:t>C</w:t>
      </w:r>
      <w:r>
        <w:rPr>
          <w:rFonts w:hint="eastAsia"/>
          <w:lang w:val="en-GB" w:eastAsia="zh-CN"/>
        </w:rPr>
        <w:t xml:space="preserve">ountries </w:t>
      </w:r>
      <w:r>
        <w:rPr>
          <w:lang w:val="en-GB" w:eastAsia="zh-CN"/>
        </w:rPr>
        <w:t>would</w:t>
      </w:r>
      <w:r>
        <w:rPr>
          <w:lang w:val="en-GB"/>
        </w:rPr>
        <w:t xml:space="preserve"> put forward long-term</w:t>
      </w:r>
      <w:r w:rsidR="00617D5E">
        <w:rPr>
          <w:lang w:val="en-GB"/>
        </w:rPr>
        <w:t xml:space="preserve"> low emissions</w:t>
      </w:r>
      <w:r>
        <w:rPr>
          <w:lang w:val="en-GB"/>
        </w:rPr>
        <w:t xml:space="preserve"> pathways to 2050. These would be submitted by 2018 and regularly updated. Countries </w:t>
      </w:r>
      <w:r>
        <w:rPr>
          <w:rFonts w:hint="eastAsia"/>
          <w:lang w:val="en-GB" w:eastAsia="zh-CN"/>
        </w:rPr>
        <w:t>would</w:t>
      </w:r>
      <w:r>
        <w:rPr>
          <w:lang w:val="en-GB"/>
        </w:rPr>
        <w:t xml:space="preserve"> also submit multi-sector, multi-timeframe operational targets in 2015, under the new agreement. These should reflect the drivers of emissions reductions, allowing for the most ambitious action where countries feel they can go furthest. These would be updated every 5 years in subsequent rounds of collective action.       </w:t>
      </w:r>
      <w:r w:rsidRPr="00BA0EDC">
        <w:rPr>
          <w:lang w:val="en-GB"/>
        </w:rPr>
        <w:t xml:space="preserve"> </w:t>
      </w:r>
      <w:r w:rsidRPr="001600F8">
        <w:rPr>
          <w:lang w:val="en-GB"/>
        </w:rPr>
        <w:t xml:space="preserve">   </w:t>
      </w:r>
    </w:p>
    <w:p w14:paraId="4DB99B6E" w14:textId="2135BD42" w:rsidR="000B0761" w:rsidRPr="006E04DF" w:rsidRDefault="000B0761" w:rsidP="005D487C">
      <w:pPr>
        <w:spacing w:after="240"/>
        <w:rPr>
          <w:lang w:val="en-GB" w:eastAsia="zh-CN"/>
        </w:rPr>
      </w:pPr>
    </w:p>
    <w:p w14:paraId="05C9503F" w14:textId="075A9404" w:rsidR="00BB3575" w:rsidRPr="006E04DF" w:rsidRDefault="00BB711D" w:rsidP="006076CD">
      <w:pPr>
        <w:rPr>
          <w:lang w:val="en-GB"/>
        </w:rPr>
      </w:pPr>
      <w:r w:rsidRPr="006E04DF">
        <w:rPr>
          <w:lang w:val="en-GB"/>
        </w:rPr>
        <w:t xml:space="preserve"> </w:t>
      </w:r>
      <w:r w:rsidR="000E6041" w:rsidRPr="006E04DF">
        <w:rPr>
          <w:lang w:val="en-GB"/>
        </w:rPr>
        <w:tab/>
      </w:r>
      <w:r w:rsidR="004432F2" w:rsidRPr="006E04DF">
        <w:rPr>
          <w:lang w:val="en-GB"/>
        </w:rPr>
        <w:t xml:space="preserve"> </w:t>
      </w:r>
    </w:p>
    <w:sectPr w:rsidR="00BB3575" w:rsidRPr="006E04DF">
      <w:headerReference w:type="even" r:id="rId23"/>
      <w:headerReference w:type="default" r:id="rId24"/>
      <w:foot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59464" w14:textId="77777777" w:rsidR="00932E8B" w:rsidRDefault="00932E8B" w:rsidP="00D63D60">
      <w:pPr>
        <w:spacing w:after="0" w:line="240" w:lineRule="auto"/>
      </w:pPr>
      <w:r>
        <w:separator/>
      </w:r>
    </w:p>
  </w:endnote>
  <w:endnote w:type="continuationSeparator" w:id="0">
    <w:p w14:paraId="0718680D" w14:textId="77777777" w:rsidR="00932E8B" w:rsidRDefault="00932E8B" w:rsidP="00D6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BDBF" w14:textId="77777777" w:rsidR="00873151" w:rsidRDefault="00873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9311"/>
      <w:docPartObj>
        <w:docPartGallery w:val="Page Numbers (Bottom of Page)"/>
        <w:docPartUnique/>
      </w:docPartObj>
    </w:sdtPr>
    <w:sdtEndPr>
      <w:rPr>
        <w:noProof/>
      </w:rPr>
    </w:sdtEndPr>
    <w:sdtContent>
      <w:p w14:paraId="17E68CEA" w14:textId="77777777" w:rsidR="008B30B7" w:rsidRDefault="008B30B7">
        <w:pPr>
          <w:pStyle w:val="Footer"/>
          <w:jc w:val="center"/>
        </w:pPr>
        <w:r>
          <w:fldChar w:fldCharType="begin"/>
        </w:r>
        <w:r>
          <w:instrText xml:space="preserve"> PAGE   \* MERGEFORMAT </w:instrText>
        </w:r>
        <w:r>
          <w:fldChar w:fldCharType="separate"/>
        </w:r>
        <w:r w:rsidR="00873151">
          <w:rPr>
            <w:noProof/>
          </w:rPr>
          <w:t>12</w:t>
        </w:r>
        <w:r>
          <w:rPr>
            <w:noProof/>
          </w:rPr>
          <w:fldChar w:fldCharType="end"/>
        </w:r>
      </w:p>
    </w:sdtContent>
  </w:sdt>
  <w:p w14:paraId="02B8AF2C" w14:textId="77777777" w:rsidR="008B30B7" w:rsidRDefault="008B3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4455F" w14:textId="77777777" w:rsidR="00873151" w:rsidRDefault="008731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67530"/>
      <w:docPartObj>
        <w:docPartGallery w:val="Page Numbers (Bottom of Page)"/>
        <w:docPartUnique/>
      </w:docPartObj>
    </w:sdtPr>
    <w:sdtEndPr>
      <w:rPr>
        <w:noProof/>
      </w:rPr>
    </w:sdtEndPr>
    <w:sdtContent>
      <w:p w14:paraId="18C5741B" w14:textId="77777777" w:rsidR="008B30B7" w:rsidRDefault="008B30B7">
        <w:pPr>
          <w:pStyle w:val="Footer"/>
          <w:jc w:val="center"/>
        </w:pPr>
        <w:r>
          <w:fldChar w:fldCharType="begin"/>
        </w:r>
        <w:r>
          <w:instrText xml:space="preserve"> PAGE   \* MERGEFORMAT </w:instrText>
        </w:r>
        <w:r>
          <w:fldChar w:fldCharType="separate"/>
        </w:r>
        <w:r w:rsidR="00873151">
          <w:rPr>
            <w:noProof/>
          </w:rPr>
          <w:t>19</w:t>
        </w:r>
        <w:r>
          <w:rPr>
            <w:noProof/>
          </w:rPr>
          <w:fldChar w:fldCharType="end"/>
        </w:r>
      </w:p>
    </w:sdtContent>
  </w:sdt>
  <w:p w14:paraId="6A03FF75" w14:textId="77777777" w:rsidR="008B30B7" w:rsidRDefault="008B3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71D0A" w14:textId="77777777" w:rsidR="00932E8B" w:rsidRDefault="00932E8B" w:rsidP="00D63D60">
      <w:pPr>
        <w:spacing w:after="0" w:line="240" w:lineRule="auto"/>
      </w:pPr>
      <w:r>
        <w:separator/>
      </w:r>
    </w:p>
  </w:footnote>
  <w:footnote w:type="continuationSeparator" w:id="0">
    <w:p w14:paraId="02231F39" w14:textId="77777777" w:rsidR="00932E8B" w:rsidRDefault="00932E8B" w:rsidP="00D63D60">
      <w:pPr>
        <w:spacing w:after="0" w:line="240" w:lineRule="auto"/>
      </w:pPr>
      <w:r>
        <w:continuationSeparator/>
      </w:r>
    </w:p>
  </w:footnote>
  <w:footnote w:id="1">
    <w:p w14:paraId="749276E0" w14:textId="40047577" w:rsidR="008B30B7" w:rsidRPr="00BA0EDC" w:rsidRDefault="008B30B7">
      <w:pPr>
        <w:pStyle w:val="FootnoteText"/>
        <w:rPr>
          <w:lang w:val="en-GB"/>
        </w:rPr>
      </w:pPr>
      <w:r>
        <w:rPr>
          <w:rStyle w:val="FootnoteReference"/>
        </w:rPr>
        <w:footnoteRef/>
      </w:r>
      <w:r>
        <w:t xml:space="preserve"> </w:t>
      </w:r>
      <w:r>
        <w:rPr>
          <w:lang w:val="en-GB"/>
        </w:rPr>
        <w:t>This paper was written under the author’s own responsibility and does not necessarily reflect the views of NCSC or the People’s Republic of China</w:t>
      </w:r>
    </w:p>
  </w:footnote>
  <w:footnote w:id="2">
    <w:p w14:paraId="7E1119C3" w14:textId="20056DA3" w:rsidR="008B30B7" w:rsidRPr="00BA0EDC" w:rsidRDefault="008B30B7">
      <w:pPr>
        <w:pStyle w:val="FootnoteText"/>
        <w:rPr>
          <w:lang w:val="en-GB"/>
        </w:rPr>
      </w:pPr>
      <w:r>
        <w:rPr>
          <w:rStyle w:val="FootnoteReference"/>
        </w:rPr>
        <w:footnoteRef/>
      </w:r>
      <w:r>
        <w:t xml:space="preserve"> </w:t>
      </w:r>
      <w:r>
        <w:rPr>
          <w:lang w:val="en-GB"/>
        </w:rPr>
        <w:t>This paper was written under the author’s own responsibility and does not necessarily reflect the views of NCSC or the People’s Republic of China</w:t>
      </w:r>
    </w:p>
  </w:footnote>
  <w:footnote w:id="3">
    <w:p w14:paraId="4D159A08" w14:textId="164B259C" w:rsidR="008B30B7" w:rsidRPr="003A666C" w:rsidRDefault="008B30B7" w:rsidP="004B6165">
      <w:pPr>
        <w:pStyle w:val="FootnoteText"/>
        <w:rPr>
          <w:lang w:val="en-GB"/>
        </w:rPr>
      </w:pPr>
      <w:r w:rsidRPr="003A666C">
        <w:rPr>
          <w:rStyle w:val="FootnoteReference"/>
          <w:lang w:val="en-GB"/>
        </w:rPr>
        <w:footnoteRef/>
      </w:r>
      <w:r w:rsidRPr="003A666C">
        <w:rPr>
          <w:lang w:val="en-GB"/>
        </w:rPr>
        <w:t xml:space="preserve"> </w:t>
      </w:r>
      <w:proofErr w:type="gramStart"/>
      <w:r w:rsidRPr="003A666C">
        <w:rPr>
          <w:lang w:val="en-GB"/>
        </w:rPr>
        <w:t>1/CP.17.</w:t>
      </w:r>
      <w:proofErr w:type="gramEnd"/>
      <w:r w:rsidRPr="003A666C">
        <w:rPr>
          <w:lang w:val="en-GB"/>
        </w:rPr>
        <w:t xml:space="preserve"> </w:t>
      </w:r>
    </w:p>
  </w:footnote>
  <w:footnote w:id="4">
    <w:p w14:paraId="12981923" w14:textId="5AAF72B5" w:rsidR="008B30B7" w:rsidRPr="003A666C" w:rsidRDefault="008B30B7">
      <w:pPr>
        <w:pStyle w:val="FootnoteText"/>
        <w:rPr>
          <w:lang w:val="en-GB"/>
        </w:rPr>
      </w:pPr>
      <w:r w:rsidRPr="003A666C">
        <w:rPr>
          <w:rStyle w:val="FootnoteReference"/>
          <w:lang w:val="en-GB"/>
        </w:rPr>
        <w:footnoteRef/>
      </w:r>
      <w:r w:rsidRPr="003A666C">
        <w:rPr>
          <w:lang w:val="en-GB"/>
        </w:rPr>
        <w:t xml:space="preserve"> For example, work on the transparency of fast-start financing could be a basis for work on the transparency of contributions to climate financing. For adaptation, the work done on developing the framework for the National Adaptation Plans could serve as a starting point for the discussion on the framework for state contributions on adaptation. </w:t>
      </w:r>
    </w:p>
  </w:footnote>
  <w:footnote w:id="5">
    <w:p w14:paraId="72BADA2B" w14:textId="1E91430B" w:rsidR="008B30B7" w:rsidRPr="003A666C" w:rsidRDefault="008B30B7" w:rsidP="000F34C8">
      <w:pPr>
        <w:pStyle w:val="FootnoteText"/>
        <w:rPr>
          <w:lang w:val="en-GB"/>
        </w:rPr>
      </w:pPr>
      <w:r w:rsidRPr="003A666C">
        <w:rPr>
          <w:rStyle w:val="FootnoteReference"/>
          <w:lang w:val="en-GB"/>
        </w:rPr>
        <w:footnoteRef/>
      </w:r>
      <w:r w:rsidRPr="003A666C">
        <w:rPr>
          <w:lang w:val="en-GB"/>
        </w:rPr>
        <w:t xml:space="preserve"> IPCC, AR5, WGIII, Summary for Policy Makers, pp. 15. </w:t>
      </w:r>
    </w:p>
  </w:footnote>
  <w:footnote w:id="6">
    <w:p w14:paraId="5E4B3CE3" w14:textId="02A70F87" w:rsidR="008B30B7" w:rsidRPr="003A666C" w:rsidRDefault="008B30B7">
      <w:pPr>
        <w:pStyle w:val="FootnoteText"/>
        <w:rPr>
          <w:lang w:val="en-GB"/>
        </w:rPr>
      </w:pPr>
      <w:r w:rsidRPr="003A666C">
        <w:rPr>
          <w:rStyle w:val="FootnoteReference"/>
          <w:lang w:val="en-GB"/>
        </w:rPr>
        <w:footnoteRef/>
      </w:r>
      <w:r w:rsidRPr="003A666C">
        <w:rPr>
          <w:lang w:val="en-GB"/>
        </w:rPr>
        <w:t xml:space="preserve"> And for other elements of nationally determined contributions; as mentioned, this paper focuses only on the mitigation aspects. </w:t>
      </w:r>
    </w:p>
  </w:footnote>
  <w:footnote w:id="7">
    <w:p w14:paraId="3535F965" w14:textId="0C43649D" w:rsidR="008B30B7" w:rsidRPr="003A666C" w:rsidRDefault="008B30B7">
      <w:pPr>
        <w:pStyle w:val="FootnoteText"/>
        <w:rPr>
          <w:lang w:val="en-GB"/>
        </w:rPr>
      </w:pPr>
      <w:r w:rsidRPr="003A666C">
        <w:rPr>
          <w:rStyle w:val="FootnoteReference"/>
          <w:lang w:val="en-GB"/>
        </w:rPr>
        <w:footnoteRef/>
      </w:r>
      <w:r w:rsidRPr="003A666C">
        <w:rPr>
          <w:lang w:val="en-GB"/>
        </w:rPr>
        <w:t xml:space="preserve"> In this regard, IDDRI is working on a number of papers, which will be published through the course of 2014. These include a paper on the adaptation framework in the 2015 agreement. </w:t>
      </w:r>
    </w:p>
  </w:footnote>
  <w:footnote w:id="8">
    <w:p w14:paraId="0614D152" w14:textId="3E0D3BA0" w:rsidR="008B30B7" w:rsidRPr="003A666C" w:rsidRDefault="008B30B7">
      <w:pPr>
        <w:pStyle w:val="FootnoteText"/>
        <w:rPr>
          <w:lang w:val="en-GB"/>
        </w:rPr>
      </w:pPr>
      <w:r w:rsidRPr="003A666C">
        <w:rPr>
          <w:rStyle w:val="FootnoteReference"/>
          <w:lang w:val="en-GB"/>
        </w:rPr>
        <w:footnoteRef/>
      </w:r>
      <w:r w:rsidRPr="003A666C">
        <w:rPr>
          <w:lang w:val="en-GB"/>
        </w:rPr>
        <w:t xml:space="preserve"> We are indebted to Dan </w:t>
      </w:r>
      <w:proofErr w:type="spellStart"/>
      <w:r w:rsidRPr="003A666C">
        <w:rPr>
          <w:lang w:val="en-GB"/>
        </w:rPr>
        <w:t>Bodansky</w:t>
      </w:r>
      <w:proofErr w:type="spellEnd"/>
      <w:r w:rsidRPr="003A666C">
        <w:rPr>
          <w:lang w:val="en-GB"/>
        </w:rPr>
        <w:t xml:space="preserve"> for this distinction. </w:t>
      </w:r>
    </w:p>
  </w:footnote>
  <w:footnote w:id="9">
    <w:p w14:paraId="3B83AB46" w14:textId="42B43C71" w:rsidR="008B30B7" w:rsidRPr="003A666C" w:rsidRDefault="008B30B7">
      <w:pPr>
        <w:pStyle w:val="FootnoteText"/>
        <w:rPr>
          <w:lang w:val="en-GB"/>
        </w:rPr>
      </w:pPr>
      <w:r w:rsidRPr="003A666C">
        <w:rPr>
          <w:rStyle w:val="FootnoteReference"/>
          <w:lang w:val="en-GB"/>
        </w:rPr>
        <w:footnoteRef/>
      </w:r>
      <w:r w:rsidRPr="003A666C">
        <w:rPr>
          <w:lang w:val="en-GB"/>
        </w:rPr>
        <w:t xml:space="preserve"> The figure of 3.7 – 4.8 ˚C equates to the median of the ‘baseline scenarios’ in the IPCC AR5 scenario database, see IPCC, AR5, WGIII, Technical Summary, notes to table TS.1 .  </w:t>
      </w:r>
    </w:p>
  </w:footnote>
  <w:footnote w:id="10">
    <w:p w14:paraId="2B201B65" w14:textId="43610DCD" w:rsidR="008B30B7" w:rsidRPr="003A666C" w:rsidRDefault="008B30B7">
      <w:pPr>
        <w:pStyle w:val="FootnoteText"/>
        <w:rPr>
          <w:lang w:val="en-GB"/>
        </w:rPr>
      </w:pPr>
      <w:r w:rsidRPr="003A666C">
        <w:rPr>
          <w:rStyle w:val="FootnoteReference"/>
          <w:lang w:val="en-GB"/>
        </w:rPr>
        <w:footnoteRef/>
      </w:r>
      <w:r w:rsidRPr="003A666C">
        <w:rPr>
          <w:lang w:val="en-GB"/>
        </w:rPr>
        <w:t xml:space="preserve"> UNFCCC, Decision 1/CP.16</w:t>
      </w:r>
    </w:p>
  </w:footnote>
  <w:footnote w:id="11">
    <w:p w14:paraId="1D23BB12" w14:textId="33CFB3FE" w:rsidR="008B30B7" w:rsidRPr="003A666C" w:rsidRDefault="008B30B7">
      <w:pPr>
        <w:pStyle w:val="FootnoteText"/>
        <w:rPr>
          <w:lang w:val="en-GB"/>
        </w:rPr>
      </w:pPr>
      <w:r w:rsidRPr="003A666C">
        <w:rPr>
          <w:rStyle w:val="FootnoteReference"/>
          <w:lang w:val="en-GB"/>
        </w:rPr>
        <w:footnoteRef/>
      </w:r>
      <w:r w:rsidRPr="003A666C">
        <w:rPr>
          <w:lang w:val="en-GB"/>
        </w:rPr>
        <w:t xml:space="preserve"> </w:t>
      </w:r>
      <w:proofErr w:type="gramStart"/>
      <w:r w:rsidRPr="003A666C">
        <w:rPr>
          <w:lang w:val="en-GB"/>
        </w:rPr>
        <w:t>IPCC, AR5, WGIII, Technical Summary, page 28.</w:t>
      </w:r>
      <w:proofErr w:type="gramEnd"/>
      <w:r w:rsidRPr="003A666C">
        <w:rPr>
          <w:lang w:val="en-GB"/>
        </w:rPr>
        <w:t xml:space="preserve"> </w:t>
      </w:r>
    </w:p>
  </w:footnote>
  <w:footnote w:id="12">
    <w:p w14:paraId="30E10933" w14:textId="68B8961E" w:rsidR="008B30B7" w:rsidRPr="003A666C" w:rsidRDefault="008B30B7">
      <w:pPr>
        <w:pStyle w:val="FootnoteText"/>
        <w:rPr>
          <w:lang w:val="en-GB"/>
        </w:rPr>
      </w:pPr>
      <w:r w:rsidRPr="003A666C">
        <w:rPr>
          <w:rStyle w:val="FootnoteReference"/>
          <w:lang w:val="en-GB"/>
        </w:rPr>
        <w:footnoteRef/>
      </w:r>
      <w:r w:rsidRPr="003A666C">
        <w:rPr>
          <w:lang w:val="en-GB"/>
        </w:rPr>
        <w:t xml:space="preserve"> </w:t>
      </w:r>
      <w:proofErr w:type="gramStart"/>
      <w:r w:rsidRPr="003A666C">
        <w:rPr>
          <w:lang w:val="en-GB"/>
        </w:rPr>
        <w:t>Ibid, ff. 39.</w:t>
      </w:r>
      <w:proofErr w:type="gramEnd"/>
      <w:r w:rsidRPr="003A666C">
        <w:rPr>
          <w:lang w:val="en-GB"/>
        </w:rPr>
        <w:t xml:space="preserve"> </w:t>
      </w:r>
    </w:p>
  </w:footnote>
  <w:footnote w:id="13">
    <w:p w14:paraId="3906619E" w14:textId="1E939413" w:rsidR="008B30B7" w:rsidRPr="003A666C" w:rsidRDefault="008B30B7">
      <w:pPr>
        <w:pStyle w:val="FootnoteText"/>
        <w:rPr>
          <w:lang w:val="en-GB"/>
        </w:rPr>
      </w:pPr>
      <w:r w:rsidRPr="003A666C">
        <w:rPr>
          <w:rStyle w:val="FootnoteReference"/>
          <w:lang w:val="en-GB"/>
        </w:rPr>
        <w:footnoteRef/>
      </w:r>
      <w:r w:rsidRPr="003A666C">
        <w:rPr>
          <w:lang w:val="en-GB"/>
        </w:rPr>
        <w:t xml:space="preserve"> </w:t>
      </w:r>
      <w:proofErr w:type="gramStart"/>
      <w:r w:rsidRPr="003A666C">
        <w:rPr>
          <w:lang w:val="en-GB"/>
        </w:rPr>
        <w:t>Ibid, ff. 39.</w:t>
      </w:r>
      <w:proofErr w:type="gramEnd"/>
      <w:r w:rsidRPr="003A666C">
        <w:rPr>
          <w:lang w:val="en-GB"/>
        </w:rPr>
        <w:t xml:space="preserve"> </w:t>
      </w:r>
    </w:p>
  </w:footnote>
  <w:footnote w:id="14">
    <w:p w14:paraId="0384DBDF" w14:textId="703D775D" w:rsidR="008B30B7" w:rsidRPr="00BA0EDC" w:rsidRDefault="008B30B7">
      <w:pPr>
        <w:pStyle w:val="FootnoteText"/>
        <w:rPr>
          <w:lang w:val="en-GB"/>
        </w:rPr>
      </w:pPr>
      <w:r>
        <w:rPr>
          <w:rStyle w:val="FootnoteReference"/>
        </w:rPr>
        <w:footnoteRef/>
      </w:r>
      <w:r>
        <w:t xml:space="preserve"> </w:t>
      </w:r>
      <w:r>
        <w:rPr>
          <w:lang w:val="en-GB"/>
        </w:rPr>
        <w:t xml:space="preserve">IPCC, AR5, WGIII, Summary for Policy Makers, pp. 15.  </w:t>
      </w:r>
    </w:p>
  </w:footnote>
  <w:footnote w:id="15">
    <w:p w14:paraId="57A27F2D" w14:textId="653FEEEC" w:rsidR="008B30B7" w:rsidRPr="00BA0EDC" w:rsidRDefault="008B30B7">
      <w:pPr>
        <w:pStyle w:val="FootnoteText"/>
        <w:rPr>
          <w:lang w:val="en-GB"/>
        </w:rPr>
      </w:pPr>
      <w:r>
        <w:rPr>
          <w:rStyle w:val="FootnoteReference"/>
        </w:rPr>
        <w:footnoteRef/>
      </w:r>
      <w:r>
        <w:t xml:space="preserve"> </w:t>
      </w:r>
      <w:proofErr w:type="gramStart"/>
      <w:r>
        <w:rPr>
          <w:lang w:val="en-GB"/>
        </w:rPr>
        <w:t>Ibid, pp. 46.</w:t>
      </w:r>
      <w:proofErr w:type="gramEnd"/>
      <w:r>
        <w:rPr>
          <w:lang w:val="en-GB"/>
        </w:rPr>
        <w:t xml:space="preserve">  </w:t>
      </w:r>
    </w:p>
  </w:footnote>
  <w:footnote w:id="16">
    <w:p w14:paraId="6A99B94F" w14:textId="33E5AC96" w:rsidR="008B30B7" w:rsidRPr="00BA0EDC" w:rsidRDefault="008B30B7">
      <w:pPr>
        <w:pStyle w:val="FootnoteText"/>
        <w:rPr>
          <w:lang w:val="en-GB"/>
        </w:rPr>
      </w:pPr>
      <w:r>
        <w:rPr>
          <w:rStyle w:val="FootnoteReference"/>
        </w:rPr>
        <w:footnoteRef/>
      </w:r>
      <w:r w:rsidRPr="00BA0EDC">
        <w:rPr>
          <w:lang w:val="en-GB"/>
        </w:rPr>
        <w:t xml:space="preserve"> </w:t>
      </w:r>
      <w:r w:rsidRPr="00921A1D">
        <w:rPr>
          <w:lang w:val="en-GB"/>
        </w:rPr>
        <w:t>IPCC, AR5, WGIII, T</w:t>
      </w:r>
      <w:r w:rsidRPr="00BA0EDC">
        <w:rPr>
          <w:lang w:val="en-GB"/>
        </w:rPr>
        <w:t>ech</w:t>
      </w:r>
      <w:r w:rsidRPr="00921A1D">
        <w:rPr>
          <w:lang w:val="en-GB"/>
        </w:rPr>
        <w:t>ni</w:t>
      </w:r>
      <w:r w:rsidRPr="00BA0EDC">
        <w:rPr>
          <w:lang w:val="en-GB"/>
        </w:rPr>
        <w:t>cal S</w:t>
      </w:r>
      <w:r>
        <w:rPr>
          <w:lang w:val="en-GB"/>
        </w:rPr>
        <w:t xml:space="preserve">ummary, ff. 51. </w:t>
      </w:r>
    </w:p>
  </w:footnote>
  <w:footnote w:id="17">
    <w:p w14:paraId="65C4C697" w14:textId="292D6822" w:rsidR="008B30B7" w:rsidRPr="00BA0EDC" w:rsidRDefault="008B30B7">
      <w:pPr>
        <w:pStyle w:val="FootnoteText"/>
        <w:rPr>
          <w:lang w:val="en-GB"/>
        </w:rPr>
      </w:pPr>
      <w:r>
        <w:rPr>
          <w:rStyle w:val="FootnoteReference"/>
        </w:rPr>
        <w:footnoteRef/>
      </w:r>
      <w:r>
        <w:t xml:space="preserve"> </w:t>
      </w:r>
      <w:proofErr w:type="gramStart"/>
      <w:r>
        <w:rPr>
          <w:lang w:val="en-GB"/>
        </w:rPr>
        <w:t>Ibid, ff. 58.</w:t>
      </w:r>
      <w:proofErr w:type="gramEnd"/>
      <w:r>
        <w:rPr>
          <w:lang w:val="en-GB"/>
        </w:rPr>
        <w:t xml:space="preserve"> </w:t>
      </w:r>
    </w:p>
  </w:footnote>
  <w:footnote w:id="18">
    <w:p w14:paraId="01FD75C0" w14:textId="5B054BD0" w:rsidR="008B30B7" w:rsidRPr="00BA0EDC" w:rsidRDefault="008B30B7">
      <w:pPr>
        <w:pStyle w:val="FootnoteText"/>
        <w:rPr>
          <w:lang w:val="en-GB"/>
        </w:rPr>
      </w:pPr>
      <w:r>
        <w:rPr>
          <w:rStyle w:val="FootnoteReference"/>
        </w:rPr>
        <w:footnoteRef/>
      </w:r>
      <w:r>
        <w:t xml:space="preserve"> </w:t>
      </w:r>
      <w:proofErr w:type="gramStart"/>
      <w:r>
        <w:rPr>
          <w:lang w:val="en-GB"/>
        </w:rPr>
        <w:t>Ibid, ff. 64.</w:t>
      </w:r>
      <w:proofErr w:type="gramEnd"/>
      <w:r>
        <w:rPr>
          <w:lang w:val="en-GB"/>
        </w:rPr>
        <w:t xml:space="preserve"> </w:t>
      </w:r>
    </w:p>
  </w:footnote>
  <w:footnote w:id="19">
    <w:p w14:paraId="6A77332B" w14:textId="582C8A14" w:rsidR="008B30B7" w:rsidRPr="00A76041" w:rsidRDefault="008B30B7" w:rsidP="00F07DBE">
      <w:pPr>
        <w:pStyle w:val="FootnoteText"/>
        <w:rPr>
          <w:lang w:val="en-GB"/>
        </w:rPr>
      </w:pPr>
      <w:r w:rsidRPr="003A666C">
        <w:rPr>
          <w:rStyle w:val="FootnoteReference"/>
          <w:lang w:val="en-GB"/>
        </w:rPr>
        <w:footnoteRef/>
      </w:r>
      <w:r w:rsidRPr="00A76041">
        <w:rPr>
          <w:lang w:val="en-GB"/>
        </w:rPr>
        <w:t xml:space="preserve"> </w:t>
      </w:r>
      <w:proofErr w:type="gramStart"/>
      <w:r w:rsidRPr="00A76041">
        <w:rPr>
          <w:lang w:val="en-GB"/>
        </w:rPr>
        <w:t>1.CP</w:t>
      </w:r>
      <w:proofErr w:type="gramEnd"/>
      <w:r w:rsidRPr="00A76041">
        <w:rPr>
          <w:lang w:val="en-GB"/>
        </w:rPr>
        <w:t xml:space="preserve">/17, 2. </w:t>
      </w:r>
    </w:p>
  </w:footnote>
  <w:footnote w:id="20">
    <w:p w14:paraId="79F2EA82" w14:textId="77777777" w:rsidR="008B30B7" w:rsidRPr="003A666C" w:rsidRDefault="008B30B7" w:rsidP="00F07DBE">
      <w:pPr>
        <w:pStyle w:val="FootnoteText"/>
        <w:rPr>
          <w:lang w:val="en-GB" w:eastAsia="zh-CN"/>
        </w:rPr>
      </w:pPr>
      <w:r w:rsidRPr="003A666C">
        <w:rPr>
          <w:rStyle w:val="FootnoteReference"/>
          <w:lang w:val="en-GB"/>
        </w:rPr>
        <w:footnoteRef/>
      </w:r>
      <w:r w:rsidRPr="003A666C">
        <w:rPr>
          <w:lang w:val="en-GB"/>
        </w:rPr>
        <w:t xml:space="preserve"> </w:t>
      </w:r>
      <w:r w:rsidRPr="003A666C">
        <w:rPr>
          <w:lang w:val="en-GB" w:eastAsia="zh-CN"/>
        </w:rPr>
        <w:t>CO</w:t>
      </w:r>
      <w:r w:rsidRPr="00BA0EDC">
        <w:rPr>
          <w:vertAlign w:val="subscript"/>
          <w:lang w:val="en-GB" w:eastAsia="zh-CN"/>
        </w:rPr>
        <w:t>2</w:t>
      </w:r>
      <w:r w:rsidRPr="003A666C">
        <w:rPr>
          <w:lang w:val="en-GB" w:eastAsia="zh-CN"/>
        </w:rPr>
        <w:t xml:space="preserve"> here only cover CO</w:t>
      </w:r>
      <w:r w:rsidRPr="00BA0EDC">
        <w:rPr>
          <w:vertAlign w:val="subscript"/>
          <w:lang w:val="en-GB" w:eastAsia="zh-CN"/>
        </w:rPr>
        <w:t>2</w:t>
      </w:r>
      <w:r w:rsidRPr="003A666C">
        <w:rPr>
          <w:lang w:val="en-GB" w:eastAsia="zh-CN"/>
        </w:rPr>
        <w:t xml:space="preserve"> emission from fossil fuel combustion</w:t>
      </w:r>
    </w:p>
  </w:footnote>
  <w:footnote w:id="21">
    <w:p w14:paraId="388E03BC" w14:textId="378BE8AB" w:rsidR="008B30B7" w:rsidRPr="00803EB9" w:rsidRDefault="008B30B7">
      <w:pPr>
        <w:pStyle w:val="FootnoteText"/>
      </w:pPr>
      <w:r>
        <w:rPr>
          <w:rStyle w:val="FootnoteReference"/>
        </w:rPr>
        <w:footnoteRef/>
      </w:r>
      <w:r>
        <w:t xml:space="preserve"> Other indicators could include cumulative CO</w:t>
      </w:r>
      <w:r w:rsidRPr="00BA0EDC">
        <w:rPr>
          <w:vertAlign w:val="subscript"/>
        </w:rPr>
        <w:t>2</w:t>
      </w:r>
      <w:r>
        <w:t xml:space="preserve"> emissions, relating to the debate on historical responsibility.</w:t>
      </w:r>
    </w:p>
  </w:footnote>
  <w:footnote w:id="22">
    <w:p w14:paraId="532B2660" w14:textId="349C8D68" w:rsidR="008B30B7" w:rsidRPr="00137882" w:rsidRDefault="008B30B7">
      <w:pPr>
        <w:pStyle w:val="FootnoteText"/>
      </w:pPr>
      <w:r>
        <w:rPr>
          <w:rStyle w:val="FootnoteReference"/>
        </w:rPr>
        <w:footnoteRef/>
      </w:r>
      <w:r>
        <w:t xml:space="preserve"> 1/CP.19 </w:t>
      </w:r>
    </w:p>
  </w:footnote>
  <w:footnote w:id="23">
    <w:p w14:paraId="34877A33" w14:textId="2A004A87" w:rsidR="008B30B7" w:rsidRPr="00BA0EDC" w:rsidRDefault="008B30B7" w:rsidP="007910D7">
      <w:pPr>
        <w:pStyle w:val="FootnoteText"/>
        <w:rPr>
          <w:lang w:val="en-GB"/>
        </w:rPr>
      </w:pPr>
      <w:r>
        <w:rPr>
          <w:rStyle w:val="FootnoteReference"/>
        </w:rPr>
        <w:footnoteRef/>
      </w:r>
      <w:r w:rsidRPr="00BA0EDC">
        <w:rPr>
          <w:lang w:val="en-GB"/>
        </w:rPr>
        <w:t xml:space="preserve"> Iran, Iraq, Kazakhstan, Kuwait, Oman, Qatar, Saudi Arabia, </w:t>
      </w:r>
      <w:r>
        <w:t>United Arab Emirates, Venezuela</w:t>
      </w:r>
    </w:p>
  </w:footnote>
  <w:footnote w:id="24">
    <w:p w14:paraId="224CC1E6" w14:textId="0AB79F6E" w:rsidR="008B30B7" w:rsidRPr="00BA0EDC" w:rsidRDefault="008B30B7" w:rsidP="00281D74">
      <w:pPr>
        <w:pStyle w:val="FootnoteText"/>
        <w:rPr>
          <w:lang w:val="en-GB"/>
        </w:rPr>
      </w:pPr>
      <w:r>
        <w:rPr>
          <w:rStyle w:val="FootnoteReference"/>
        </w:rPr>
        <w:footnoteRef/>
      </w:r>
      <w:r>
        <w:t xml:space="preserve"> Antigua and Barbuda, Azerbaijan, Bahamas, Bahrain, Barbados, Bermuda, Brunei Darussalam, Chile, Equatorial Guinea, Gabon, Hong Kong SAR, Israel, Korea, Lebanon, Macao SAR, Malaysia, Mauritius, Mexico, Panama, Puerto Rico, Seychelles, Singapore, St. Kitts and Nevis, Suriname, Trinidad and Tobago, Uruguay</w:t>
      </w:r>
    </w:p>
  </w:footnote>
  <w:footnote w:id="25">
    <w:p w14:paraId="1022B719" w14:textId="2F7692AE" w:rsidR="008B30B7" w:rsidRPr="003A666C" w:rsidRDefault="008B30B7" w:rsidP="00A94BED">
      <w:pPr>
        <w:pStyle w:val="FootnoteText"/>
        <w:rPr>
          <w:lang w:val="en-GB"/>
        </w:rPr>
      </w:pPr>
      <w:r w:rsidRPr="003A666C">
        <w:rPr>
          <w:rStyle w:val="FootnoteReference"/>
          <w:lang w:val="en-GB"/>
        </w:rPr>
        <w:footnoteRef/>
      </w:r>
      <w:r w:rsidRPr="003A666C">
        <w:rPr>
          <w:lang w:val="en-GB"/>
        </w:rPr>
        <w:t xml:space="preserve"> </w:t>
      </w:r>
      <w:r>
        <w:rPr>
          <w:lang w:val="en-GB"/>
        </w:rPr>
        <w:t xml:space="preserve"> </w:t>
      </w:r>
      <w:r w:rsidRPr="00A94BED">
        <w:rPr>
          <w:lang w:val="en-GB"/>
        </w:rPr>
        <w:t>Albania</w:t>
      </w:r>
      <w:r>
        <w:rPr>
          <w:lang w:val="en-GB"/>
        </w:rPr>
        <w:t xml:space="preserve">, </w:t>
      </w:r>
      <w:r w:rsidRPr="00A94BED">
        <w:rPr>
          <w:lang w:val="en-GB"/>
        </w:rPr>
        <w:t>Algeria</w:t>
      </w:r>
      <w:r>
        <w:rPr>
          <w:lang w:val="en-GB"/>
        </w:rPr>
        <w:t xml:space="preserve">, </w:t>
      </w:r>
      <w:r w:rsidRPr="00A94BED">
        <w:rPr>
          <w:lang w:val="en-GB"/>
        </w:rPr>
        <w:t>Angola</w:t>
      </w:r>
      <w:r>
        <w:rPr>
          <w:lang w:val="en-GB"/>
        </w:rPr>
        <w:t xml:space="preserve">, </w:t>
      </w:r>
      <w:r w:rsidRPr="00A94BED">
        <w:rPr>
          <w:lang w:val="en-GB"/>
        </w:rPr>
        <w:t>Armenia</w:t>
      </w:r>
      <w:r>
        <w:rPr>
          <w:lang w:val="en-GB"/>
        </w:rPr>
        <w:t xml:space="preserve">, </w:t>
      </w:r>
      <w:r w:rsidRPr="00A94BED">
        <w:rPr>
          <w:lang w:val="en-GB"/>
        </w:rPr>
        <w:t>Belize</w:t>
      </w:r>
      <w:r>
        <w:rPr>
          <w:lang w:val="en-GB"/>
        </w:rPr>
        <w:t xml:space="preserve">, </w:t>
      </w:r>
      <w:r w:rsidRPr="00A94BED">
        <w:rPr>
          <w:lang w:val="en-GB"/>
        </w:rPr>
        <w:t>Bhutan</w:t>
      </w:r>
      <w:r>
        <w:rPr>
          <w:lang w:val="en-GB"/>
        </w:rPr>
        <w:t xml:space="preserve">, </w:t>
      </w:r>
      <w:r w:rsidRPr="00A94BED">
        <w:rPr>
          <w:lang w:val="en-GB"/>
        </w:rPr>
        <w:t>Bosnia and Herzegovina</w:t>
      </w:r>
      <w:r>
        <w:rPr>
          <w:lang w:val="en-GB"/>
        </w:rPr>
        <w:t xml:space="preserve">, </w:t>
      </w:r>
      <w:r w:rsidRPr="00A94BED">
        <w:rPr>
          <w:lang w:val="en-GB"/>
        </w:rPr>
        <w:t>Botswana</w:t>
      </w:r>
      <w:r>
        <w:rPr>
          <w:lang w:val="en-GB"/>
        </w:rPr>
        <w:t xml:space="preserve">, </w:t>
      </w:r>
      <w:r w:rsidRPr="00A94BED">
        <w:rPr>
          <w:lang w:val="en-GB"/>
        </w:rPr>
        <w:t>Brazil</w:t>
      </w:r>
      <w:r>
        <w:rPr>
          <w:lang w:val="en-GB"/>
        </w:rPr>
        <w:t xml:space="preserve">, </w:t>
      </w:r>
      <w:r w:rsidRPr="00A94BED">
        <w:rPr>
          <w:lang w:val="en-GB"/>
        </w:rPr>
        <w:t>China</w:t>
      </w:r>
      <w:r>
        <w:rPr>
          <w:lang w:val="en-GB"/>
        </w:rPr>
        <w:t xml:space="preserve">, </w:t>
      </w:r>
      <w:r w:rsidRPr="00A94BED">
        <w:rPr>
          <w:lang w:val="en-GB"/>
        </w:rPr>
        <w:t>Colombia</w:t>
      </w:r>
      <w:r>
        <w:rPr>
          <w:lang w:val="en-GB"/>
        </w:rPr>
        <w:t xml:space="preserve">, </w:t>
      </w:r>
      <w:r w:rsidRPr="00A94BED">
        <w:rPr>
          <w:lang w:val="en-GB"/>
        </w:rPr>
        <w:t>Costa Rica</w:t>
      </w:r>
      <w:r>
        <w:rPr>
          <w:lang w:val="en-GB"/>
        </w:rPr>
        <w:t xml:space="preserve">, </w:t>
      </w:r>
      <w:r w:rsidRPr="00A94BED">
        <w:rPr>
          <w:lang w:val="en-GB"/>
        </w:rPr>
        <w:t>Dominica</w:t>
      </w:r>
      <w:r>
        <w:rPr>
          <w:lang w:val="en-GB"/>
        </w:rPr>
        <w:t xml:space="preserve">, </w:t>
      </w:r>
      <w:r w:rsidRPr="00A94BED">
        <w:rPr>
          <w:lang w:val="en-GB"/>
        </w:rPr>
        <w:t>Dominican Republic</w:t>
      </w:r>
      <w:r>
        <w:rPr>
          <w:lang w:val="en-GB"/>
        </w:rPr>
        <w:t xml:space="preserve">, </w:t>
      </w:r>
      <w:r w:rsidRPr="00A94BED">
        <w:rPr>
          <w:lang w:val="en-GB"/>
        </w:rPr>
        <w:t>Ecuador</w:t>
      </w:r>
      <w:r>
        <w:rPr>
          <w:lang w:val="en-GB"/>
        </w:rPr>
        <w:t xml:space="preserve">, </w:t>
      </w:r>
      <w:r w:rsidRPr="00A94BED">
        <w:rPr>
          <w:lang w:val="en-GB"/>
        </w:rPr>
        <w:t>Egypt,</w:t>
      </w:r>
      <w:r>
        <w:rPr>
          <w:lang w:val="en-GB"/>
        </w:rPr>
        <w:t xml:space="preserve"> </w:t>
      </w:r>
      <w:r w:rsidRPr="00A94BED">
        <w:rPr>
          <w:lang w:val="en-GB"/>
        </w:rPr>
        <w:t>El Salvador</w:t>
      </w:r>
      <w:r>
        <w:rPr>
          <w:lang w:val="en-GB"/>
        </w:rPr>
        <w:t xml:space="preserve">, </w:t>
      </w:r>
      <w:r w:rsidRPr="00A94BED">
        <w:rPr>
          <w:lang w:val="en-GB"/>
        </w:rPr>
        <w:t>Fiji</w:t>
      </w:r>
      <w:r>
        <w:rPr>
          <w:lang w:val="en-GB"/>
        </w:rPr>
        <w:t xml:space="preserve">, </w:t>
      </w:r>
      <w:r w:rsidRPr="00A94BED">
        <w:rPr>
          <w:lang w:val="en-GB"/>
        </w:rPr>
        <w:t>Grenada</w:t>
      </w:r>
      <w:r>
        <w:rPr>
          <w:lang w:val="en-GB"/>
        </w:rPr>
        <w:t xml:space="preserve">,  </w:t>
      </w:r>
      <w:r w:rsidRPr="00A94BED">
        <w:rPr>
          <w:lang w:val="en-GB"/>
        </w:rPr>
        <w:t>Guatemala</w:t>
      </w:r>
      <w:r>
        <w:rPr>
          <w:lang w:val="en-GB"/>
        </w:rPr>
        <w:t xml:space="preserve">, </w:t>
      </w:r>
      <w:r w:rsidRPr="00A94BED">
        <w:rPr>
          <w:lang w:val="en-GB"/>
        </w:rPr>
        <w:t>Indonesia</w:t>
      </w:r>
      <w:r>
        <w:rPr>
          <w:lang w:val="en-GB"/>
        </w:rPr>
        <w:t xml:space="preserve">, </w:t>
      </w:r>
      <w:r w:rsidRPr="00A94BED">
        <w:rPr>
          <w:lang w:val="en-GB"/>
        </w:rPr>
        <w:t>Jamaica</w:t>
      </w:r>
      <w:r>
        <w:rPr>
          <w:lang w:val="en-GB"/>
        </w:rPr>
        <w:t xml:space="preserve">, </w:t>
      </w:r>
      <w:r w:rsidRPr="00A94BED">
        <w:rPr>
          <w:lang w:val="en-GB"/>
        </w:rPr>
        <w:t>Jordan</w:t>
      </w:r>
      <w:r>
        <w:rPr>
          <w:lang w:val="en-GB"/>
        </w:rPr>
        <w:t xml:space="preserve">, </w:t>
      </w:r>
      <w:r w:rsidRPr="00A94BED">
        <w:rPr>
          <w:lang w:val="en-GB"/>
        </w:rPr>
        <w:t>Kosovo</w:t>
      </w:r>
      <w:r>
        <w:rPr>
          <w:lang w:val="en-GB"/>
        </w:rPr>
        <w:t xml:space="preserve">, Macedonia, </w:t>
      </w:r>
      <w:r w:rsidRPr="00A94BED">
        <w:rPr>
          <w:lang w:val="en-GB"/>
        </w:rPr>
        <w:t>Maldives</w:t>
      </w:r>
      <w:r>
        <w:rPr>
          <w:lang w:val="en-GB"/>
        </w:rPr>
        <w:t xml:space="preserve">, </w:t>
      </w:r>
      <w:r w:rsidRPr="00A94BED">
        <w:rPr>
          <w:lang w:val="en-GB"/>
        </w:rPr>
        <w:t>Mongolia</w:t>
      </w:r>
      <w:r>
        <w:rPr>
          <w:lang w:val="en-GB"/>
        </w:rPr>
        <w:t xml:space="preserve">, </w:t>
      </w:r>
      <w:r w:rsidRPr="00A94BED">
        <w:rPr>
          <w:lang w:val="en-GB"/>
        </w:rPr>
        <w:t>Montenegro</w:t>
      </w:r>
      <w:r>
        <w:rPr>
          <w:lang w:val="en-GB"/>
        </w:rPr>
        <w:t xml:space="preserve">, </w:t>
      </w:r>
      <w:r w:rsidRPr="00A94BED">
        <w:rPr>
          <w:lang w:val="en-GB"/>
        </w:rPr>
        <w:t>Namibia</w:t>
      </w:r>
      <w:r>
        <w:rPr>
          <w:lang w:val="en-GB"/>
        </w:rPr>
        <w:t xml:space="preserve">, </w:t>
      </w:r>
      <w:r w:rsidRPr="00A94BED">
        <w:rPr>
          <w:lang w:val="en-GB"/>
        </w:rPr>
        <w:t>Palau</w:t>
      </w:r>
      <w:r>
        <w:rPr>
          <w:lang w:val="en-GB"/>
        </w:rPr>
        <w:t xml:space="preserve">, </w:t>
      </w:r>
      <w:r w:rsidRPr="00A94BED">
        <w:rPr>
          <w:lang w:val="en-GB"/>
        </w:rPr>
        <w:t>Paraguay</w:t>
      </w:r>
      <w:r>
        <w:rPr>
          <w:lang w:val="en-GB"/>
        </w:rPr>
        <w:t xml:space="preserve">, </w:t>
      </w:r>
      <w:r w:rsidRPr="00A94BED">
        <w:rPr>
          <w:lang w:val="en-GB"/>
        </w:rPr>
        <w:t>Peru</w:t>
      </w:r>
      <w:r>
        <w:rPr>
          <w:lang w:val="en-GB"/>
        </w:rPr>
        <w:t xml:space="preserve">, </w:t>
      </w:r>
      <w:r w:rsidRPr="00A94BED">
        <w:rPr>
          <w:lang w:val="en-GB"/>
        </w:rPr>
        <w:t>Serbia</w:t>
      </w:r>
      <w:r>
        <w:rPr>
          <w:lang w:val="en-GB"/>
        </w:rPr>
        <w:t xml:space="preserve">, </w:t>
      </w:r>
      <w:r w:rsidRPr="00A94BED">
        <w:rPr>
          <w:lang w:val="en-GB"/>
        </w:rPr>
        <w:t>South Africa</w:t>
      </w:r>
      <w:r>
        <w:rPr>
          <w:lang w:val="en-GB"/>
        </w:rPr>
        <w:t xml:space="preserve">, </w:t>
      </w:r>
      <w:r w:rsidRPr="00A94BED">
        <w:rPr>
          <w:lang w:val="en-GB"/>
        </w:rPr>
        <w:t>Sri Lanka</w:t>
      </w:r>
      <w:r>
        <w:rPr>
          <w:lang w:val="en-GB"/>
        </w:rPr>
        <w:t xml:space="preserve">, </w:t>
      </w:r>
      <w:r w:rsidRPr="00A94BED">
        <w:rPr>
          <w:lang w:val="en-GB"/>
        </w:rPr>
        <w:t>St. Lucia</w:t>
      </w:r>
      <w:r>
        <w:rPr>
          <w:lang w:val="en-GB"/>
        </w:rPr>
        <w:t xml:space="preserve">, </w:t>
      </w:r>
      <w:r w:rsidRPr="00A94BED">
        <w:rPr>
          <w:lang w:val="en-GB"/>
        </w:rPr>
        <w:t>St. Vincent and the Grenadines</w:t>
      </w:r>
      <w:r>
        <w:rPr>
          <w:lang w:val="en-GB"/>
        </w:rPr>
        <w:t xml:space="preserve">, </w:t>
      </w:r>
      <w:r w:rsidRPr="00A94BED">
        <w:rPr>
          <w:lang w:val="en-GB"/>
        </w:rPr>
        <w:t>Thailand</w:t>
      </w:r>
      <w:r>
        <w:rPr>
          <w:lang w:val="en-GB"/>
        </w:rPr>
        <w:t xml:space="preserve">, </w:t>
      </w:r>
      <w:r w:rsidRPr="00A94BED">
        <w:rPr>
          <w:lang w:val="en-GB"/>
        </w:rPr>
        <w:t>Tunisia</w:t>
      </w:r>
      <w:r>
        <w:rPr>
          <w:lang w:val="en-GB"/>
        </w:rPr>
        <w:t xml:space="preserve">, </w:t>
      </w:r>
      <w:r w:rsidRPr="00A94BED">
        <w:rPr>
          <w:lang w:val="en-GB"/>
        </w:rPr>
        <w:t>Turkmenistan</w:t>
      </w:r>
      <w:r>
        <w:rPr>
          <w:lang w:val="en-GB"/>
        </w:rPr>
        <w:t xml:space="preserve">, </w:t>
      </w:r>
      <w:r w:rsidRPr="00A94BED">
        <w:rPr>
          <w:lang w:val="en-GB"/>
        </w:rPr>
        <w:t>India</w:t>
      </w:r>
      <w:r>
        <w:rPr>
          <w:lang w:val="en-GB"/>
        </w:rPr>
        <w:t xml:space="preserve"> </w:t>
      </w:r>
    </w:p>
  </w:footnote>
  <w:footnote w:id="26">
    <w:p w14:paraId="0D4ABFAA" w14:textId="5DE42E06" w:rsidR="008B30B7" w:rsidRPr="00BE7005" w:rsidRDefault="008B30B7">
      <w:pPr>
        <w:pStyle w:val="FootnoteText"/>
      </w:pPr>
      <w:r w:rsidRPr="00BA0EDC">
        <w:rPr>
          <w:rStyle w:val="FootnoteReference"/>
          <w:highlight w:val="yellow"/>
        </w:rPr>
        <w:footnoteRef/>
      </w:r>
      <w:r w:rsidRPr="00BA0EDC">
        <w:rPr>
          <w:highlight w:val="yellow"/>
        </w:rPr>
        <w:t xml:space="preserve"> </w:t>
      </w:r>
      <w:r>
        <w:t xml:space="preserve">It should be noted that the World Bank database contains some gaps for national GDP figures. However, as these tend to be for smaller countries, it does not have a significant impact on the weighted average of different groups. </w:t>
      </w:r>
    </w:p>
  </w:footnote>
  <w:footnote w:id="27">
    <w:p w14:paraId="092F03AB" w14:textId="4B9E93DF" w:rsidR="008B30B7" w:rsidRPr="003A666C" w:rsidRDefault="008B30B7" w:rsidP="00C32BCC">
      <w:pPr>
        <w:pStyle w:val="FootnoteText"/>
        <w:rPr>
          <w:lang w:val="en-GB"/>
        </w:rPr>
      </w:pPr>
      <w:r w:rsidRPr="003A666C">
        <w:rPr>
          <w:rStyle w:val="FootnoteReference"/>
          <w:lang w:val="en-GB"/>
        </w:rPr>
        <w:footnoteRef/>
      </w:r>
      <w:r w:rsidRPr="003A666C">
        <w:rPr>
          <w:lang w:val="en-GB"/>
        </w:rPr>
        <w:t xml:space="preserve"> </w:t>
      </w:r>
      <w:r w:rsidRPr="003A666C">
        <w:rPr>
          <w:rFonts w:ascii="Calibri" w:eastAsia="Times New Roman" w:hAnsi="Calibri" w:cs="Times New Roman"/>
          <w:color w:val="000000"/>
          <w:lang w:val="en-GB" w:eastAsia="fr-FR"/>
        </w:rPr>
        <w:t>It is interesting to note in passing that the reduction in the 2010 emissions projections for China and India between 2000 and 2002 was due to the latter set of scenarios including the impact of the Asian Financial Crisis: the economic baseline of the 2000 scenario was based on 1997 economic projections.</w:t>
      </w:r>
    </w:p>
  </w:footnote>
  <w:footnote w:id="28">
    <w:p w14:paraId="5C7E7101" w14:textId="16BC2EB1" w:rsidR="008B30B7" w:rsidRPr="003A666C" w:rsidRDefault="008B30B7">
      <w:pPr>
        <w:pStyle w:val="FootnoteText"/>
        <w:rPr>
          <w:lang w:val="en-GB"/>
        </w:rPr>
      </w:pPr>
      <w:r w:rsidRPr="003A666C">
        <w:rPr>
          <w:rStyle w:val="FootnoteReference"/>
          <w:lang w:val="en-GB"/>
        </w:rPr>
        <w:footnoteRef/>
      </w:r>
      <w:r w:rsidRPr="003A666C">
        <w:rPr>
          <w:lang w:val="en-GB"/>
        </w:rPr>
        <w:t xml:space="preserve"> International Energy Agency (2000), “World Energy Outlook 2000”, Paris: IEA. International Energy Agency (2002), “World Energy Outlook 2002”, Paris: IEA. </w:t>
      </w:r>
    </w:p>
  </w:footnote>
  <w:footnote w:id="29">
    <w:p w14:paraId="018F09B7" w14:textId="55F8236E" w:rsidR="008B30B7" w:rsidRPr="003A666C" w:rsidRDefault="008B30B7" w:rsidP="009870F2">
      <w:pPr>
        <w:pStyle w:val="FootnoteText"/>
        <w:rPr>
          <w:lang w:val="en-GB"/>
        </w:rPr>
      </w:pPr>
      <w:r w:rsidRPr="003A666C">
        <w:rPr>
          <w:rStyle w:val="FootnoteReference"/>
          <w:lang w:val="en-GB"/>
        </w:rPr>
        <w:footnoteRef/>
      </w:r>
      <w:r w:rsidRPr="003A666C">
        <w:rPr>
          <w:lang w:val="en-GB"/>
        </w:rPr>
        <w:t xml:space="preserve"> Cf. </w:t>
      </w:r>
      <w:proofErr w:type="spellStart"/>
      <w:r w:rsidRPr="003A666C">
        <w:rPr>
          <w:lang w:val="en-GB"/>
        </w:rPr>
        <w:t>Aldy</w:t>
      </w:r>
      <w:proofErr w:type="spellEnd"/>
      <w:r w:rsidRPr="003A666C">
        <w:rPr>
          <w:lang w:val="en-GB"/>
        </w:rPr>
        <w:t xml:space="preserve">, J. et al. (2003), “Thirteen plus one: a comparison of global climate policy architectures”, </w:t>
      </w:r>
      <w:r w:rsidRPr="003A666C">
        <w:rPr>
          <w:i/>
          <w:lang w:val="en-GB"/>
        </w:rPr>
        <w:t xml:space="preserve">Climate Policy, </w:t>
      </w:r>
      <w:r w:rsidRPr="003A666C">
        <w:rPr>
          <w:lang w:val="en-GB"/>
        </w:rPr>
        <w:t xml:space="preserve">in particular the discussion on the criteria of policy flexibility in the face of new evidence. </w:t>
      </w:r>
    </w:p>
  </w:footnote>
  <w:footnote w:id="30">
    <w:p w14:paraId="67746F12" w14:textId="6E5F61D3" w:rsidR="008B30B7" w:rsidRPr="003A666C" w:rsidRDefault="008B30B7">
      <w:pPr>
        <w:pStyle w:val="FootnoteText"/>
        <w:rPr>
          <w:lang w:val="en-GB"/>
        </w:rPr>
      </w:pPr>
      <w:r w:rsidRPr="003A666C">
        <w:rPr>
          <w:rStyle w:val="FootnoteReference"/>
          <w:lang w:val="en-GB"/>
        </w:rPr>
        <w:footnoteRef/>
      </w:r>
      <w:r w:rsidRPr="003A666C">
        <w:rPr>
          <w:lang w:val="en-GB"/>
        </w:rPr>
        <w:t xml:space="preserve"> Cf. Brunner, S. et al (2011),</w:t>
      </w:r>
      <w:r>
        <w:rPr>
          <w:lang w:val="en-GB"/>
        </w:rPr>
        <w:t xml:space="preserve"> “Credible Commitment in Carbon Policy”, </w:t>
      </w:r>
      <w:r>
        <w:rPr>
          <w:i/>
          <w:lang w:val="en-GB"/>
        </w:rPr>
        <w:t>Climate Policy</w:t>
      </w:r>
      <w:r>
        <w:rPr>
          <w:lang w:val="en-GB"/>
        </w:rPr>
        <w:t xml:space="preserve"> </w:t>
      </w:r>
      <w:r w:rsidRPr="003A666C">
        <w:rPr>
          <w:lang w:val="en-GB"/>
        </w:rPr>
        <w:t> </w:t>
      </w:r>
    </w:p>
  </w:footnote>
  <w:footnote w:id="31">
    <w:p w14:paraId="4BDB809A" w14:textId="77777777" w:rsidR="008B30B7" w:rsidRPr="008405BD" w:rsidRDefault="008B30B7" w:rsidP="009A5C0E">
      <w:pPr>
        <w:pStyle w:val="FootnoteText"/>
        <w:rPr>
          <w:lang w:val="en-GB"/>
        </w:rPr>
      </w:pPr>
      <w:r>
        <w:rPr>
          <w:rStyle w:val="FootnoteReference"/>
        </w:rPr>
        <w:footnoteRef/>
      </w:r>
      <w:r>
        <w:t xml:space="preserve"> UNFCCC (2014), “</w:t>
      </w:r>
      <w:r w:rsidRPr="008405BD">
        <w:t>FCCC/SBSTA/2014/INF.6</w:t>
      </w:r>
      <w:r>
        <w:t xml:space="preserve">” and UNFCCC (2014), </w:t>
      </w:r>
      <w:r w:rsidRPr="009A5C0E">
        <w:t>FCCC/SBI/2013/INF.12/Rev.2</w:t>
      </w:r>
    </w:p>
  </w:footnote>
  <w:footnote w:id="32">
    <w:p w14:paraId="682F55D9" w14:textId="190DB720" w:rsidR="008B30B7" w:rsidRPr="009A5C0E" w:rsidRDefault="008B30B7">
      <w:pPr>
        <w:pStyle w:val="FootnoteText"/>
        <w:rPr>
          <w:lang w:val="en-GB"/>
        </w:rPr>
      </w:pPr>
      <w:r>
        <w:rPr>
          <w:rStyle w:val="FootnoteReference"/>
        </w:rPr>
        <w:footnoteRef/>
      </w:r>
      <w:r>
        <w:t xml:space="preserve"> </w:t>
      </w:r>
      <w:r>
        <w:rPr>
          <w:lang w:val="en-GB"/>
        </w:rPr>
        <w:t>Ibid</w:t>
      </w:r>
    </w:p>
  </w:footnote>
  <w:footnote w:id="33">
    <w:p w14:paraId="110EC05A" w14:textId="49DCD1F8" w:rsidR="008B30B7" w:rsidRPr="003A666C" w:rsidRDefault="008B30B7" w:rsidP="00132ADC">
      <w:pPr>
        <w:pStyle w:val="FootnoteText"/>
        <w:rPr>
          <w:lang w:val="en-GB"/>
        </w:rPr>
      </w:pPr>
      <w:r w:rsidRPr="003A666C">
        <w:rPr>
          <w:rStyle w:val="FootnoteReference"/>
          <w:lang w:val="en-GB"/>
        </w:rPr>
        <w:footnoteRef/>
      </w:r>
      <w:r w:rsidRPr="003A666C">
        <w:rPr>
          <w:lang w:val="en-GB"/>
        </w:rPr>
        <w:t xml:space="preserve"> </w:t>
      </w:r>
      <w:proofErr w:type="spellStart"/>
      <w:r>
        <w:rPr>
          <w:lang w:val="en-GB"/>
        </w:rPr>
        <w:t>Briner</w:t>
      </w:r>
      <w:proofErr w:type="spellEnd"/>
      <w:r>
        <w:rPr>
          <w:lang w:val="en-GB"/>
        </w:rPr>
        <w:t>, G. et al (2014), “</w:t>
      </w:r>
      <w:r w:rsidRPr="003B320E">
        <w:rPr>
          <w:lang w:val="en-GB"/>
        </w:rPr>
        <w:t>Built to Last: Designing a Flexible and Durable 2015 Climate Change Agreement”, draft background document prepared for the OECD CCXG forum.</w:t>
      </w:r>
      <w:r>
        <w:rPr>
          <w:rFonts w:ascii="Arial" w:hAnsi="Arial" w:cs="Arial"/>
          <w:color w:val="222222"/>
          <w:sz w:val="18"/>
          <w:szCs w:val="18"/>
          <w:shd w:val="clear" w:color="auto" w:fill="FFFFFF"/>
        </w:rPr>
        <w:t xml:space="preserve"> </w:t>
      </w:r>
    </w:p>
  </w:footnote>
  <w:footnote w:id="34">
    <w:p w14:paraId="312491A1" w14:textId="143591D8" w:rsidR="008B30B7" w:rsidRPr="003A666C" w:rsidRDefault="008B30B7">
      <w:pPr>
        <w:pStyle w:val="FootnoteText"/>
        <w:rPr>
          <w:lang w:val="en-GB"/>
        </w:rPr>
      </w:pPr>
      <w:r w:rsidRPr="003A666C">
        <w:rPr>
          <w:rStyle w:val="FootnoteReference"/>
          <w:lang w:val="en-GB"/>
        </w:rPr>
        <w:footnoteRef/>
      </w:r>
      <w:r w:rsidRPr="003A666C">
        <w:rPr>
          <w:lang w:val="en-GB"/>
        </w:rPr>
        <w:t xml:space="preserve"> Other information </w:t>
      </w:r>
      <w:r>
        <w:rPr>
          <w:lang w:val="en-GB"/>
        </w:rPr>
        <w:t xml:space="preserve">will also need to be provided for other aspects of nationally determined contributions, for example on finance and adaptation.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B024" w14:textId="1244E17E" w:rsidR="00873151" w:rsidRDefault="00873151">
    <w:pPr>
      <w:pStyle w:val="Header"/>
    </w:pPr>
    <w:r>
      <w:rPr>
        <w:noProof/>
      </w:rPr>
      <w:pict w14:anchorId="4E0E3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9097" o:spid="_x0000_s2050" type="#_x0000_t136" style="position:absolute;margin-left:0;margin-top:0;width:553.2pt;height:82.95pt;rotation:315;z-index:-251655168;mso-position-horizontal:center;mso-position-horizontal-relative:margin;mso-position-vertical:center;mso-position-vertical-relative:margin" o:allowincell="f" fillcolor="silver" stroked="f">
          <v:fill opacity=".5"/>
          <v:textpath style="font-family:&quot;Calibri&quot;;font-size:1pt" string="DRAFT AND CONFIDENT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6C37" w14:textId="62F1852C" w:rsidR="00873151" w:rsidRDefault="00873151">
    <w:pPr>
      <w:pStyle w:val="Header"/>
    </w:pPr>
    <w:r>
      <w:rPr>
        <w:noProof/>
      </w:rPr>
      <w:pict w14:anchorId="6F3F1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9098" o:spid="_x0000_s2051" type="#_x0000_t136" style="position:absolute;margin-left:0;margin-top:0;width:553.2pt;height:82.95pt;rotation:315;z-index:-251653120;mso-position-horizontal:center;mso-position-horizontal-relative:margin;mso-position-vertical:center;mso-position-vertical-relative:margin" o:allowincell="f" fillcolor="silver" stroked="f">
          <v:fill opacity=".5"/>
          <v:textpath style="font-family:&quot;Calibri&quot;;font-size:1pt" string="DRAFT AND CONFIDENT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5FEFF" w14:textId="6A36DA12" w:rsidR="00873151" w:rsidRDefault="00873151">
    <w:pPr>
      <w:pStyle w:val="Header"/>
    </w:pPr>
    <w:r>
      <w:rPr>
        <w:noProof/>
      </w:rPr>
      <w:pict w14:anchorId="03D3A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9096" o:spid="_x0000_s2049" type="#_x0000_t136" style="position:absolute;margin-left:0;margin-top:0;width:553.2pt;height:82.95pt;rotation:315;z-index:-251657216;mso-position-horizontal:center;mso-position-horizontal-relative:margin;mso-position-vertical:center;mso-position-vertical-relative:margin" o:allowincell="f" fillcolor="silver" stroked="f">
          <v:fill opacity=".5"/>
          <v:textpath style="font-family:&quot;Calibri&quot;;font-size:1pt" string="DRAFT AND CONFIDENTIAL"/>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4B39" w14:textId="52F52C04" w:rsidR="00873151" w:rsidRDefault="00873151">
    <w:pPr>
      <w:pStyle w:val="Header"/>
    </w:pPr>
    <w:r>
      <w:rPr>
        <w:noProof/>
      </w:rPr>
      <w:pict w14:anchorId="3D35C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9100" o:spid="_x0000_s2053" type="#_x0000_t136" style="position:absolute;margin-left:0;margin-top:0;width:553.2pt;height:82.95pt;rotation:315;z-index:-251649024;mso-position-horizontal:center;mso-position-horizontal-relative:margin;mso-position-vertical:center;mso-position-vertical-relative:margin" o:allowincell="f" fillcolor="silver" stroked="f">
          <v:fill opacity=".5"/>
          <v:textpath style="font-family:&quot;Calibri&quot;;font-size:1pt" string="DRAFT AND CONFIDENTIAL"/>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8154C" w14:textId="3226C451" w:rsidR="00873151" w:rsidRDefault="00873151">
    <w:pPr>
      <w:pStyle w:val="Header"/>
    </w:pPr>
    <w:r>
      <w:rPr>
        <w:noProof/>
      </w:rPr>
      <w:pict w14:anchorId="41E2B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9101" o:spid="_x0000_s2054" type="#_x0000_t136" style="position:absolute;margin-left:0;margin-top:0;width:553.2pt;height:82.95pt;rotation:315;z-index:-251646976;mso-position-horizontal:center;mso-position-horizontal-relative:margin;mso-position-vertical:center;mso-position-vertical-relative:margin" o:allowincell="f" fillcolor="silver" stroked="f">
          <v:fill opacity=".5"/>
          <v:textpath style="font-family:&quot;Calibri&quot;;font-size:1pt" string="DRAFT AND CONFIDENTI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D975" w14:textId="2951FA87" w:rsidR="00873151" w:rsidRDefault="00873151">
    <w:pPr>
      <w:pStyle w:val="Header"/>
    </w:pPr>
    <w:r>
      <w:rPr>
        <w:noProof/>
      </w:rPr>
      <w:pict w14:anchorId="4FE1E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9099" o:spid="_x0000_s2052" type="#_x0000_t136" style="position:absolute;margin-left:0;margin-top:0;width:553.2pt;height:82.95pt;rotation:315;z-index:-251651072;mso-position-horizontal:center;mso-position-horizontal-relative:margin;mso-position-vertical:center;mso-position-vertical-relative:margin" o:allowincell="f" fillcolor="silver" stroked="f">
          <v:fill opacity=".5"/>
          <v:textpath style="font-family:&quot;Calibri&quot;;font-size:1pt" string="DRAFT AND CONFIDENT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B57"/>
    <w:multiLevelType w:val="hybridMultilevel"/>
    <w:tmpl w:val="D5744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F608F7"/>
    <w:multiLevelType w:val="hybridMultilevel"/>
    <w:tmpl w:val="5C62824A"/>
    <w:lvl w:ilvl="0" w:tplc="040C000F">
      <w:start w:val="1"/>
      <w:numFmt w:val="decimal"/>
      <w:lvlText w:val="%1."/>
      <w:lvlJc w:val="left"/>
      <w:pPr>
        <w:ind w:left="870" w:hanging="360"/>
      </w:p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
    <w:nsid w:val="097462C4"/>
    <w:multiLevelType w:val="hybridMultilevel"/>
    <w:tmpl w:val="6C7C5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B631A9"/>
    <w:multiLevelType w:val="hybridMultilevel"/>
    <w:tmpl w:val="AC107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0B67DA"/>
    <w:multiLevelType w:val="multilevel"/>
    <w:tmpl w:val="84FC57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759613A"/>
    <w:multiLevelType w:val="hybridMultilevel"/>
    <w:tmpl w:val="DC007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93499C"/>
    <w:multiLevelType w:val="multilevel"/>
    <w:tmpl w:val="6FA0ED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EE31FF0"/>
    <w:multiLevelType w:val="hybridMultilevel"/>
    <w:tmpl w:val="BF884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C956DE"/>
    <w:multiLevelType w:val="hybridMultilevel"/>
    <w:tmpl w:val="7F86A5A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5D5106"/>
    <w:multiLevelType w:val="hybridMultilevel"/>
    <w:tmpl w:val="291C6710"/>
    <w:lvl w:ilvl="0" w:tplc="040C000F">
      <w:start w:val="1"/>
      <w:numFmt w:val="decimal"/>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10">
    <w:nsid w:val="28590DE3"/>
    <w:multiLevelType w:val="hybridMultilevel"/>
    <w:tmpl w:val="297CD5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EC655D"/>
    <w:multiLevelType w:val="hybridMultilevel"/>
    <w:tmpl w:val="9B9C1E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971D93"/>
    <w:multiLevelType w:val="hybridMultilevel"/>
    <w:tmpl w:val="AB00D036"/>
    <w:lvl w:ilvl="0" w:tplc="040C0001">
      <w:start w:val="1"/>
      <w:numFmt w:val="bullet"/>
      <w:lvlText w:val=""/>
      <w:lvlJc w:val="left"/>
      <w:pPr>
        <w:ind w:left="1446" w:hanging="360"/>
      </w:pPr>
      <w:rPr>
        <w:rFonts w:ascii="Symbol" w:hAnsi="Symbol"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13">
    <w:nsid w:val="355002BB"/>
    <w:multiLevelType w:val="hybridMultilevel"/>
    <w:tmpl w:val="E014F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B02AE9"/>
    <w:multiLevelType w:val="hybridMultilevel"/>
    <w:tmpl w:val="CB5E80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952E99"/>
    <w:multiLevelType w:val="hybridMultilevel"/>
    <w:tmpl w:val="9EC2E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2E753B"/>
    <w:multiLevelType w:val="hybridMultilevel"/>
    <w:tmpl w:val="CCA68F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947494"/>
    <w:multiLevelType w:val="hybridMultilevel"/>
    <w:tmpl w:val="320A27DE"/>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8">
    <w:nsid w:val="50B85BF3"/>
    <w:multiLevelType w:val="hybridMultilevel"/>
    <w:tmpl w:val="7932D8AE"/>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
    <w:nsid w:val="51A153EC"/>
    <w:multiLevelType w:val="hybridMultilevel"/>
    <w:tmpl w:val="A2EA8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C42148"/>
    <w:multiLevelType w:val="hybridMultilevel"/>
    <w:tmpl w:val="12C0BACC"/>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55670F5D"/>
    <w:multiLevelType w:val="hybridMultilevel"/>
    <w:tmpl w:val="175C7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8B0422"/>
    <w:multiLevelType w:val="hybridMultilevel"/>
    <w:tmpl w:val="EBA6C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F7542F"/>
    <w:multiLevelType w:val="hybridMultilevel"/>
    <w:tmpl w:val="BA585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F662A4"/>
    <w:multiLevelType w:val="hybridMultilevel"/>
    <w:tmpl w:val="0116E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986E63"/>
    <w:multiLevelType w:val="hybridMultilevel"/>
    <w:tmpl w:val="18ACC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766044"/>
    <w:multiLevelType w:val="hybridMultilevel"/>
    <w:tmpl w:val="5D02705A"/>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7">
    <w:nsid w:val="72770FD1"/>
    <w:multiLevelType w:val="hybridMultilevel"/>
    <w:tmpl w:val="E214D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B62546"/>
    <w:multiLevelType w:val="hybridMultilevel"/>
    <w:tmpl w:val="4036D84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1"/>
  </w:num>
  <w:num w:numId="3">
    <w:abstractNumId w:val="20"/>
  </w:num>
  <w:num w:numId="4">
    <w:abstractNumId w:val="14"/>
  </w:num>
  <w:num w:numId="5">
    <w:abstractNumId w:val="28"/>
  </w:num>
  <w:num w:numId="6">
    <w:abstractNumId w:val="8"/>
  </w:num>
  <w:num w:numId="7">
    <w:abstractNumId w:val="19"/>
  </w:num>
  <w:num w:numId="8">
    <w:abstractNumId w:val="0"/>
  </w:num>
  <w:num w:numId="9">
    <w:abstractNumId w:val="24"/>
  </w:num>
  <w:num w:numId="10">
    <w:abstractNumId w:val="15"/>
  </w:num>
  <w:num w:numId="11">
    <w:abstractNumId w:val="5"/>
  </w:num>
  <w:num w:numId="12">
    <w:abstractNumId w:val="25"/>
  </w:num>
  <w:num w:numId="13">
    <w:abstractNumId w:val="7"/>
  </w:num>
  <w:num w:numId="14">
    <w:abstractNumId w:val="10"/>
  </w:num>
  <w:num w:numId="15">
    <w:abstractNumId w:val="16"/>
  </w:num>
  <w:num w:numId="16">
    <w:abstractNumId w:val="23"/>
  </w:num>
  <w:num w:numId="17">
    <w:abstractNumId w:val="2"/>
  </w:num>
  <w:num w:numId="18">
    <w:abstractNumId w:val="21"/>
  </w:num>
  <w:num w:numId="19">
    <w:abstractNumId w:val="1"/>
  </w:num>
  <w:num w:numId="20">
    <w:abstractNumId w:val="27"/>
  </w:num>
  <w:num w:numId="21">
    <w:abstractNumId w:val="12"/>
  </w:num>
  <w:num w:numId="22">
    <w:abstractNumId w:val="4"/>
  </w:num>
  <w:num w:numId="23">
    <w:abstractNumId w:val="6"/>
  </w:num>
  <w:num w:numId="24">
    <w:abstractNumId w:val="17"/>
  </w:num>
  <w:num w:numId="25">
    <w:abstractNumId w:val="9"/>
  </w:num>
  <w:num w:numId="26">
    <w:abstractNumId w:val="13"/>
  </w:num>
  <w:num w:numId="27">
    <w:abstractNumId w:val="22"/>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75"/>
    <w:rsid w:val="0000554F"/>
    <w:rsid w:val="000103C3"/>
    <w:rsid w:val="000158E9"/>
    <w:rsid w:val="00020DF5"/>
    <w:rsid w:val="0002651A"/>
    <w:rsid w:val="0003258B"/>
    <w:rsid w:val="000371EA"/>
    <w:rsid w:val="000376AC"/>
    <w:rsid w:val="000376F5"/>
    <w:rsid w:val="000437CE"/>
    <w:rsid w:val="00043C41"/>
    <w:rsid w:val="00045041"/>
    <w:rsid w:val="00061362"/>
    <w:rsid w:val="000623AE"/>
    <w:rsid w:val="00070D05"/>
    <w:rsid w:val="00072A21"/>
    <w:rsid w:val="00074716"/>
    <w:rsid w:val="00075875"/>
    <w:rsid w:val="00075A62"/>
    <w:rsid w:val="00080D84"/>
    <w:rsid w:val="00091CCE"/>
    <w:rsid w:val="00093C8D"/>
    <w:rsid w:val="00093D93"/>
    <w:rsid w:val="00094198"/>
    <w:rsid w:val="000A5802"/>
    <w:rsid w:val="000B0761"/>
    <w:rsid w:val="000B14A7"/>
    <w:rsid w:val="000B41EE"/>
    <w:rsid w:val="000B660C"/>
    <w:rsid w:val="000D0397"/>
    <w:rsid w:val="000D369C"/>
    <w:rsid w:val="000D3B0C"/>
    <w:rsid w:val="000D503D"/>
    <w:rsid w:val="000D6C09"/>
    <w:rsid w:val="000D7EC0"/>
    <w:rsid w:val="000E2659"/>
    <w:rsid w:val="000E6041"/>
    <w:rsid w:val="000F1C06"/>
    <w:rsid w:val="000F2632"/>
    <w:rsid w:val="000F29C5"/>
    <w:rsid w:val="000F34C8"/>
    <w:rsid w:val="00100B72"/>
    <w:rsid w:val="0010313B"/>
    <w:rsid w:val="00103DB4"/>
    <w:rsid w:val="00104236"/>
    <w:rsid w:val="0010528E"/>
    <w:rsid w:val="0011004C"/>
    <w:rsid w:val="0011077E"/>
    <w:rsid w:val="00124E02"/>
    <w:rsid w:val="00127E8F"/>
    <w:rsid w:val="001302BA"/>
    <w:rsid w:val="00132215"/>
    <w:rsid w:val="00132ADC"/>
    <w:rsid w:val="00137882"/>
    <w:rsid w:val="00137B4C"/>
    <w:rsid w:val="0014081E"/>
    <w:rsid w:val="00142E5A"/>
    <w:rsid w:val="00145BE2"/>
    <w:rsid w:val="00147312"/>
    <w:rsid w:val="001474A3"/>
    <w:rsid w:val="00147D71"/>
    <w:rsid w:val="001506ED"/>
    <w:rsid w:val="00152192"/>
    <w:rsid w:val="001600F8"/>
    <w:rsid w:val="00163EE0"/>
    <w:rsid w:val="00164C70"/>
    <w:rsid w:val="0016636F"/>
    <w:rsid w:val="001676D5"/>
    <w:rsid w:val="0017157A"/>
    <w:rsid w:val="0017674E"/>
    <w:rsid w:val="00181BA0"/>
    <w:rsid w:val="00197330"/>
    <w:rsid w:val="001A42DF"/>
    <w:rsid w:val="001B140B"/>
    <w:rsid w:val="001B3222"/>
    <w:rsid w:val="001C25AC"/>
    <w:rsid w:val="001C589B"/>
    <w:rsid w:val="001D3D1E"/>
    <w:rsid w:val="001D3F15"/>
    <w:rsid w:val="001D4D57"/>
    <w:rsid w:val="001E2281"/>
    <w:rsid w:val="001E3A14"/>
    <w:rsid w:val="001E6070"/>
    <w:rsid w:val="001F2302"/>
    <w:rsid w:val="001F3F88"/>
    <w:rsid w:val="00202E6E"/>
    <w:rsid w:val="00207AD4"/>
    <w:rsid w:val="002210F4"/>
    <w:rsid w:val="00223306"/>
    <w:rsid w:val="002257BB"/>
    <w:rsid w:val="002325C6"/>
    <w:rsid w:val="00234B58"/>
    <w:rsid w:val="00243C76"/>
    <w:rsid w:val="002477B5"/>
    <w:rsid w:val="00255120"/>
    <w:rsid w:val="0026171E"/>
    <w:rsid w:val="00266A1E"/>
    <w:rsid w:val="00280033"/>
    <w:rsid w:val="002803C7"/>
    <w:rsid w:val="002811F7"/>
    <w:rsid w:val="00281D74"/>
    <w:rsid w:val="00286187"/>
    <w:rsid w:val="00292C2C"/>
    <w:rsid w:val="002932A8"/>
    <w:rsid w:val="0029386A"/>
    <w:rsid w:val="00293877"/>
    <w:rsid w:val="00293FF7"/>
    <w:rsid w:val="00296908"/>
    <w:rsid w:val="00297F56"/>
    <w:rsid w:val="002A2DBF"/>
    <w:rsid w:val="002A402E"/>
    <w:rsid w:val="002A64E4"/>
    <w:rsid w:val="002B31E3"/>
    <w:rsid w:val="002D31C5"/>
    <w:rsid w:val="002D64A5"/>
    <w:rsid w:val="002F631F"/>
    <w:rsid w:val="002F7230"/>
    <w:rsid w:val="002F7E3F"/>
    <w:rsid w:val="002F7E51"/>
    <w:rsid w:val="00301D04"/>
    <w:rsid w:val="0030406B"/>
    <w:rsid w:val="00305916"/>
    <w:rsid w:val="003073A7"/>
    <w:rsid w:val="0033193B"/>
    <w:rsid w:val="003329D7"/>
    <w:rsid w:val="00333723"/>
    <w:rsid w:val="0034173F"/>
    <w:rsid w:val="003443FA"/>
    <w:rsid w:val="0035034F"/>
    <w:rsid w:val="0035571D"/>
    <w:rsid w:val="0035624C"/>
    <w:rsid w:val="003578C8"/>
    <w:rsid w:val="0036190B"/>
    <w:rsid w:val="003619C6"/>
    <w:rsid w:val="003624EF"/>
    <w:rsid w:val="003656F5"/>
    <w:rsid w:val="00367D51"/>
    <w:rsid w:val="00373D19"/>
    <w:rsid w:val="00386F3F"/>
    <w:rsid w:val="0039278F"/>
    <w:rsid w:val="003A2994"/>
    <w:rsid w:val="003A495B"/>
    <w:rsid w:val="003A666C"/>
    <w:rsid w:val="003B0FE9"/>
    <w:rsid w:val="003B260F"/>
    <w:rsid w:val="003B320E"/>
    <w:rsid w:val="003B62CF"/>
    <w:rsid w:val="003B6E5F"/>
    <w:rsid w:val="003C090D"/>
    <w:rsid w:val="003D6305"/>
    <w:rsid w:val="003D7922"/>
    <w:rsid w:val="003E1B25"/>
    <w:rsid w:val="003E676D"/>
    <w:rsid w:val="003F2744"/>
    <w:rsid w:val="003F3D71"/>
    <w:rsid w:val="003F3ECC"/>
    <w:rsid w:val="003F724E"/>
    <w:rsid w:val="0040770F"/>
    <w:rsid w:val="004177E0"/>
    <w:rsid w:val="00423B18"/>
    <w:rsid w:val="004317E4"/>
    <w:rsid w:val="0043532D"/>
    <w:rsid w:val="00435EB2"/>
    <w:rsid w:val="0044016D"/>
    <w:rsid w:val="004432F2"/>
    <w:rsid w:val="0044362F"/>
    <w:rsid w:val="00444313"/>
    <w:rsid w:val="004458B2"/>
    <w:rsid w:val="00446B73"/>
    <w:rsid w:val="004663BF"/>
    <w:rsid w:val="004733AD"/>
    <w:rsid w:val="00473D7D"/>
    <w:rsid w:val="00474E9C"/>
    <w:rsid w:val="004752C1"/>
    <w:rsid w:val="00485DE4"/>
    <w:rsid w:val="00491086"/>
    <w:rsid w:val="00491C11"/>
    <w:rsid w:val="004B6165"/>
    <w:rsid w:val="004C47DE"/>
    <w:rsid w:val="004D38B1"/>
    <w:rsid w:val="004D6897"/>
    <w:rsid w:val="004D6BAF"/>
    <w:rsid w:val="004E096F"/>
    <w:rsid w:val="004E0C42"/>
    <w:rsid w:val="004E1FEE"/>
    <w:rsid w:val="004E536C"/>
    <w:rsid w:val="004E6047"/>
    <w:rsid w:val="004E6A10"/>
    <w:rsid w:val="004F3980"/>
    <w:rsid w:val="004F58A8"/>
    <w:rsid w:val="005040FE"/>
    <w:rsid w:val="00523C53"/>
    <w:rsid w:val="005243C3"/>
    <w:rsid w:val="005275FA"/>
    <w:rsid w:val="00532B16"/>
    <w:rsid w:val="00532CAD"/>
    <w:rsid w:val="00536309"/>
    <w:rsid w:val="00537CC9"/>
    <w:rsid w:val="0054204E"/>
    <w:rsid w:val="00547C7D"/>
    <w:rsid w:val="00551698"/>
    <w:rsid w:val="00561BC2"/>
    <w:rsid w:val="005661F3"/>
    <w:rsid w:val="00572108"/>
    <w:rsid w:val="00577CA5"/>
    <w:rsid w:val="005802D3"/>
    <w:rsid w:val="00582785"/>
    <w:rsid w:val="00583C2A"/>
    <w:rsid w:val="00592B0A"/>
    <w:rsid w:val="005A02F7"/>
    <w:rsid w:val="005A197B"/>
    <w:rsid w:val="005A38D5"/>
    <w:rsid w:val="005B43EF"/>
    <w:rsid w:val="005B5242"/>
    <w:rsid w:val="005C01E7"/>
    <w:rsid w:val="005C1A45"/>
    <w:rsid w:val="005C4A61"/>
    <w:rsid w:val="005D085F"/>
    <w:rsid w:val="005D091C"/>
    <w:rsid w:val="005D3F26"/>
    <w:rsid w:val="005D487C"/>
    <w:rsid w:val="005D51F9"/>
    <w:rsid w:val="005E5216"/>
    <w:rsid w:val="005E7285"/>
    <w:rsid w:val="005F23DD"/>
    <w:rsid w:val="005F602F"/>
    <w:rsid w:val="006011D2"/>
    <w:rsid w:val="00602511"/>
    <w:rsid w:val="0060381B"/>
    <w:rsid w:val="006076CD"/>
    <w:rsid w:val="00617B1F"/>
    <w:rsid w:val="00617D5E"/>
    <w:rsid w:val="006207C6"/>
    <w:rsid w:val="006279CF"/>
    <w:rsid w:val="00632574"/>
    <w:rsid w:val="00636920"/>
    <w:rsid w:val="006400AA"/>
    <w:rsid w:val="006437CF"/>
    <w:rsid w:val="0064568F"/>
    <w:rsid w:val="006478B5"/>
    <w:rsid w:val="00654B55"/>
    <w:rsid w:val="00660D30"/>
    <w:rsid w:val="00662F26"/>
    <w:rsid w:val="00663B59"/>
    <w:rsid w:val="00664632"/>
    <w:rsid w:val="006649F9"/>
    <w:rsid w:val="0066619D"/>
    <w:rsid w:val="00675CF6"/>
    <w:rsid w:val="00677A0A"/>
    <w:rsid w:val="006810AD"/>
    <w:rsid w:val="006847E2"/>
    <w:rsid w:val="00686EC8"/>
    <w:rsid w:val="0069233E"/>
    <w:rsid w:val="00694DB5"/>
    <w:rsid w:val="00695E14"/>
    <w:rsid w:val="006A0930"/>
    <w:rsid w:val="006B0F31"/>
    <w:rsid w:val="006C429F"/>
    <w:rsid w:val="006C49E5"/>
    <w:rsid w:val="006D0486"/>
    <w:rsid w:val="006D23C8"/>
    <w:rsid w:val="006D3567"/>
    <w:rsid w:val="006D5030"/>
    <w:rsid w:val="006E04DF"/>
    <w:rsid w:val="006E11D5"/>
    <w:rsid w:val="006E213C"/>
    <w:rsid w:val="006E6F17"/>
    <w:rsid w:val="006E73F0"/>
    <w:rsid w:val="006F1127"/>
    <w:rsid w:val="006F2DA3"/>
    <w:rsid w:val="006F4598"/>
    <w:rsid w:val="006F5AF0"/>
    <w:rsid w:val="006F62BF"/>
    <w:rsid w:val="006F6AD9"/>
    <w:rsid w:val="0070214C"/>
    <w:rsid w:val="00703256"/>
    <w:rsid w:val="007037C5"/>
    <w:rsid w:val="00706F23"/>
    <w:rsid w:val="00710184"/>
    <w:rsid w:val="00714068"/>
    <w:rsid w:val="007261B7"/>
    <w:rsid w:val="0072670E"/>
    <w:rsid w:val="00726D51"/>
    <w:rsid w:val="007330DE"/>
    <w:rsid w:val="00736CAD"/>
    <w:rsid w:val="0073799F"/>
    <w:rsid w:val="00740C3B"/>
    <w:rsid w:val="00746353"/>
    <w:rsid w:val="00766F63"/>
    <w:rsid w:val="007714C7"/>
    <w:rsid w:val="0077336C"/>
    <w:rsid w:val="007820E5"/>
    <w:rsid w:val="007843D4"/>
    <w:rsid w:val="007865B1"/>
    <w:rsid w:val="007877C1"/>
    <w:rsid w:val="007910D7"/>
    <w:rsid w:val="00794FDE"/>
    <w:rsid w:val="007A3EDF"/>
    <w:rsid w:val="007A5E59"/>
    <w:rsid w:val="007B25ED"/>
    <w:rsid w:val="007B2D09"/>
    <w:rsid w:val="007B36B9"/>
    <w:rsid w:val="007C2EAD"/>
    <w:rsid w:val="007F5BC5"/>
    <w:rsid w:val="008004D8"/>
    <w:rsid w:val="00801BAF"/>
    <w:rsid w:val="00803EB9"/>
    <w:rsid w:val="00804488"/>
    <w:rsid w:val="00805ADA"/>
    <w:rsid w:val="0081167C"/>
    <w:rsid w:val="00813167"/>
    <w:rsid w:val="0081752F"/>
    <w:rsid w:val="00822647"/>
    <w:rsid w:val="00825FCC"/>
    <w:rsid w:val="00832BA2"/>
    <w:rsid w:val="00836421"/>
    <w:rsid w:val="00836C49"/>
    <w:rsid w:val="008405BD"/>
    <w:rsid w:val="00847BC3"/>
    <w:rsid w:val="00851BE4"/>
    <w:rsid w:val="008544BB"/>
    <w:rsid w:val="008612B8"/>
    <w:rsid w:val="008617DA"/>
    <w:rsid w:val="008649DB"/>
    <w:rsid w:val="00873151"/>
    <w:rsid w:val="00877C04"/>
    <w:rsid w:val="00884B40"/>
    <w:rsid w:val="00885683"/>
    <w:rsid w:val="00892C16"/>
    <w:rsid w:val="008931D7"/>
    <w:rsid w:val="008A19AA"/>
    <w:rsid w:val="008A4E43"/>
    <w:rsid w:val="008B0914"/>
    <w:rsid w:val="008B111F"/>
    <w:rsid w:val="008B30B7"/>
    <w:rsid w:val="008B475A"/>
    <w:rsid w:val="008B7671"/>
    <w:rsid w:val="008B7B77"/>
    <w:rsid w:val="008C4355"/>
    <w:rsid w:val="008D072A"/>
    <w:rsid w:val="008D466E"/>
    <w:rsid w:val="008E1ECE"/>
    <w:rsid w:val="008E4E5E"/>
    <w:rsid w:val="008E5774"/>
    <w:rsid w:val="008E64A1"/>
    <w:rsid w:val="008E6D40"/>
    <w:rsid w:val="008F362D"/>
    <w:rsid w:val="008F392B"/>
    <w:rsid w:val="00902ABD"/>
    <w:rsid w:val="00902CCD"/>
    <w:rsid w:val="009161FE"/>
    <w:rsid w:val="00920C8A"/>
    <w:rsid w:val="00921A1D"/>
    <w:rsid w:val="00921B48"/>
    <w:rsid w:val="00932E8B"/>
    <w:rsid w:val="0094062A"/>
    <w:rsid w:val="00942F3B"/>
    <w:rsid w:val="0096261B"/>
    <w:rsid w:val="00963C1B"/>
    <w:rsid w:val="00964DA5"/>
    <w:rsid w:val="009665F9"/>
    <w:rsid w:val="00967A19"/>
    <w:rsid w:val="00967C79"/>
    <w:rsid w:val="00976396"/>
    <w:rsid w:val="009832F4"/>
    <w:rsid w:val="00983756"/>
    <w:rsid w:val="00983FE8"/>
    <w:rsid w:val="009870F2"/>
    <w:rsid w:val="00991BAA"/>
    <w:rsid w:val="00992E55"/>
    <w:rsid w:val="00994C36"/>
    <w:rsid w:val="00995AF7"/>
    <w:rsid w:val="00995C1E"/>
    <w:rsid w:val="009A5C0E"/>
    <w:rsid w:val="009A650F"/>
    <w:rsid w:val="009C4C83"/>
    <w:rsid w:val="009D5111"/>
    <w:rsid w:val="009D75E1"/>
    <w:rsid w:val="009E4C10"/>
    <w:rsid w:val="009F3706"/>
    <w:rsid w:val="009F7207"/>
    <w:rsid w:val="00A12B89"/>
    <w:rsid w:val="00A13E0E"/>
    <w:rsid w:val="00A1642C"/>
    <w:rsid w:val="00A32D21"/>
    <w:rsid w:val="00A3548D"/>
    <w:rsid w:val="00A437CB"/>
    <w:rsid w:val="00A46C9F"/>
    <w:rsid w:val="00A46F36"/>
    <w:rsid w:val="00A52A06"/>
    <w:rsid w:val="00A6015C"/>
    <w:rsid w:val="00A636E0"/>
    <w:rsid w:val="00A7349E"/>
    <w:rsid w:val="00A76041"/>
    <w:rsid w:val="00A777F4"/>
    <w:rsid w:val="00A80F82"/>
    <w:rsid w:val="00A81D53"/>
    <w:rsid w:val="00A83119"/>
    <w:rsid w:val="00A835AD"/>
    <w:rsid w:val="00A939F7"/>
    <w:rsid w:val="00A93F7E"/>
    <w:rsid w:val="00A94BED"/>
    <w:rsid w:val="00A96A2C"/>
    <w:rsid w:val="00A97441"/>
    <w:rsid w:val="00AA186D"/>
    <w:rsid w:val="00AA7EE6"/>
    <w:rsid w:val="00AA7F0B"/>
    <w:rsid w:val="00AC21E7"/>
    <w:rsid w:val="00AC7E2A"/>
    <w:rsid w:val="00AD3850"/>
    <w:rsid w:val="00AD3E0E"/>
    <w:rsid w:val="00AD49E5"/>
    <w:rsid w:val="00AE594C"/>
    <w:rsid w:val="00AE6FC8"/>
    <w:rsid w:val="00B01049"/>
    <w:rsid w:val="00B0328E"/>
    <w:rsid w:val="00B07209"/>
    <w:rsid w:val="00B157A5"/>
    <w:rsid w:val="00B175C7"/>
    <w:rsid w:val="00B201A8"/>
    <w:rsid w:val="00B24170"/>
    <w:rsid w:val="00B34673"/>
    <w:rsid w:val="00B35995"/>
    <w:rsid w:val="00B4128F"/>
    <w:rsid w:val="00B52FBB"/>
    <w:rsid w:val="00B56B40"/>
    <w:rsid w:val="00B62729"/>
    <w:rsid w:val="00B71BFE"/>
    <w:rsid w:val="00B767E6"/>
    <w:rsid w:val="00B8595D"/>
    <w:rsid w:val="00B940D4"/>
    <w:rsid w:val="00B97F62"/>
    <w:rsid w:val="00BA0EDC"/>
    <w:rsid w:val="00BA133C"/>
    <w:rsid w:val="00BB053F"/>
    <w:rsid w:val="00BB3575"/>
    <w:rsid w:val="00BB5032"/>
    <w:rsid w:val="00BB6455"/>
    <w:rsid w:val="00BB6557"/>
    <w:rsid w:val="00BB711D"/>
    <w:rsid w:val="00BC08AE"/>
    <w:rsid w:val="00BC57C6"/>
    <w:rsid w:val="00BC64BB"/>
    <w:rsid w:val="00BD57D3"/>
    <w:rsid w:val="00BD7CAC"/>
    <w:rsid w:val="00BE527E"/>
    <w:rsid w:val="00BE7005"/>
    <w:rsid w:val="00C0170D"/>
    <w:rsid w:val="00C0678D"/>
    <w:rsid w:val="00C11DFF"/>
    <w:rsid w:val="00C12405"/>
    <w:rsid w:val="00C14D1E"/>
    <w:rsid w:val="00C221C3"/>
    <w:rsid w:val="00C31763"/>
    <w:rsid w:val="00C319CD"/>
    <w:rsid w:val="00C32BCC"/>
    <w:rsid w:val="00C55AA8"/>
    <w:rsid w:val="00C6053E"/>
    <w:rsid w:val="00C67773"/>
    <w:rsid w:val="00C67E75"/>
    <w:rsid w:val="00C76343"/>
    <w:rsid w:val="00C8358C"/>
    <w:rsid w:val="00C91C5A"/>
    <w:rsid w:val="00C921F7"/>
    <w:rsid w:val="00CB3745"/>
    <w:rsid w:val="00CB5C9B"/>
    <w:rsid w:val="00CB6E9F"/>
    <w:rsid w:val="00CB6F49"/>
    <w:rsid w:val="00CB6FE4"/>
    <w:rsid w:val="00CC1885"/>
    <w:rsid w:val="00CC2713"/>
    <w:rsid w:val="00CC2866"/>
    <w:rsid w:val="00CC355F"/>
    <w:rsid w:val="00CC4FAA"/>
    <w:rsid w:val="00CD209A"/>
    <w:rsid w:val="00CD6557"/>
    <w:rsid w:val="00CE5B69"/>
    <w:rsid w:val="00CE6193"/>
    <w:rsid w:val="00CF2683"/>
    <w:rsid w:val="00D122FD"/>
    <w:rsid w:val="00D17941"/>
    <w:rsid w:val="00D205BE"/>
    <w:rsid w:val="00D2353E"/>
    <w:rsid w:val="00D2388A"/>
    <w:rsid w:val="00D26BE1"/>
    <w:rsid w:val="00D270B2"/>
    <w:rsid w:val="00D331D1"/>
    <w:rsid w:val="00D414F6"/>
    <w:rsid w:val="00D4278C"/>
    <w:rsid w:val="00D45AB1"/>
    <w:rsid w:val="00D45C82"/>
    <w:rsid w:val="00D507DD"/>
    <w:rsid w:val="00D5690C"/>
    <w:rsid w:val="00D56C51"/>
    <w:rsid w:val="00D63D60"/>
    <w:rsid w:val="00D87FF7"/>
    <w:rsid w:val="00D92058"/>
    <w:rsid w:val="00D9418D"/>
    <w:rsid w:val="00D94A52"/>
    <w:rsid w:val="00D97C2C"/>
    <w:rsid w:val="00DA0569"/>
    <w:rsid w:val="00DB2EC2"/>
    <w:rsid w:val="00DB4DE5"/>
    <w:rsid w:val="00DC012B"/>
    <w:rsid w:val="00DC1C5B"/>
    <w:rsid w:val="00DC3CCF"/>
    <w:rsid w:val="00DE2A5C"/>
    <w:rsid w:val="00DE6DD3"/>
    <w:rsid w:val="00DF283A"/>
    <w:rsid w:val="00E036D3"/>
    <w:rsid w:val="00E06DBA"/>
    <w:rsid w:val="00E12077"/>
    <w:rsid w:val="00E16655"/>
    <w:rsid w:val="00E16DFE"/>
    <w:rsid w:val="00E21DD5"/>
    <w:rsid w:val="00E25F35"/>
    <w:rsid w:val="00E26B57"/>
    <w:rsid w:val="00E318C0"/>
    <w:rsid w:val="00E3624F"/>
    <w:rsid w:val="00E42163"/>
    <w:rsid w:val="00E4288D"/>
    <w:rsid w:val="00E5050D"/>
    <w:rsid w:val="00E51E8D"/>
    <w:rsid w:val="00E54107"/>
    <w:rsid w:val="00E57618"/>
    <w:rsid w:val="00E636CE"/>
    <w:rsid w:val="00E63797"/>
    <w:rsid w:val="00E64900"/>
    <w:rsid w:val="00E71B9F"/>
    <w:rsid w:val="00E73EDC"/>
    <w:rsid w:val="00E759C8"/>
    <w:rsid w:val="00E7719B"/>
    <w:rsid w:val="00E81789"/>
    <w:rsid w:val="00E871F9"/>
    <w:rsid w:val="00E925DF"/>
    <w:rsid w:val="00E9525C"/>
    <w:rsid w:val="00E96D60"/>
    <w:rsid w:val="00EA09AE"/>
    <w:rsid w:val="00EA23D7"/>
    <w:rsid w:val="00EB1234"/>
    <w:rsid w:val="00EB2F85"/>
    <w:rsid w:val="00EB63AF"/>
    <w:rsid w:val="00EB7084"/>
    <w:rsid w:val="00EC145C"/>
    <w:rsid w:val="00EC390B"/>
    <w:rsid w:val="00EC493F"/>
    <w:rsid w:val="00EC49A3"/>
    <w:rsid w:val="00EC70E6"/>
    <w:rsid w:val="00EC773C"/>
    <w:rsid w:val="00ED27E8"/>
    <w:rsid w:val="00ED29D3"/>
    <w:rsid w:val="00ED30FA"/>
    <w:rsid w:val="00ED4559"/>
    <w:rsid w:val="00EE485C"/>
    <w:rsid w:val="00EF1995"/>
    <w:rsid w:val="00EF3B49"/>
    <w:rsid w:val="00EF5C80"/>
    <w:rsid w:val="00F01075"/>
    <w:rsid w:val="00F0133B"/>
    <w:rsid w:val="00F025B9"/>
    <w:rsid w:val="00F04797"/>
    <w:rsid w:val="00F04FD7"/>
    <w:rsid w:val="00F054F4"/>
    <w:rsid w:val="00F0728D"/>
    <w:rsid w:val="00F07DBE"/>
    <w:rsid w:val="00F12BEB"/>
    <w:rsid w:val="00F15BCC"/>
    <w:rsid w:val="00F17F42"/>
    <w:rsid w:val="00F22756"/>
    <w:rsid w:val="00F22B3D"/>
    <w:rsid w:val="00F250A3"/>
    <w:rsid w:val="00F321B9"/>
    <w:rsid w:val="00F4529E"/>
    <w:rsid w:val="00F454A4"/>
    <w:rsid w:val="00F455A7"/>
    <w:rsid w:val="00F47BEC"/>
    <w:rsid w:val="00F47FCE"/>
    <w:rsid w:val="00F55240"/>
    <w:rsid w:val="00F60532"/>
    <w:rsid w:val="00F628DB"/>
    <w:rsid w:val="00F744DF"/>
    <w:rsid w:val="00F80230"/>
    <w:rsid w:val="00F8134C"/>
    <w:rsid w:val="00F86E3A"/>
    <w:rsid w:val="00F870BB"/>
    <w:rsid w:val="00F90A6C"/>
    <w:rsid w:val="00F9206D"/>
    <w:rsid w:val="00F93B37"/>
    <w:rsid w:val="00F97443"/>
    <w:rsid w:val="00FA279E"/>
    <w:rsid w:val="00FB3F25"/>
    <w:rsid w:val="00FC2B36"/>
    <w:rsid w:val="00FC6B95"/>
    <w:rsid w:val="00FC78D7"/>
    <w:rsid w:val="00FD5100"/>
    <w:rsid w:val="00FE3489"/>
    <w:rsid w:val="00FE4217"/>
    <w:rsid w:val="00FE47A7"/>
    <w:rsid w:val="00FF07CC"/>
    <w:rsid w:val="00FF0864"/>
    <w:rsid w:val="00FF09E9"/>
    <w:rsid w:val="00FF3DD1"/>
    <w:rsid w:val="00FF6720"/>
    <w:rsid w:val="00FF6D9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256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6478B5"/>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78B5"/>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78B5"/>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136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48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48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48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48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48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575"/>
    <w:rPr>
      <w:color w:val="0000FF" w:themeColor="hyperlink"/>
      <w:u w:val="single"/>
    </w:rPr>
  </w:style>
  <w:style w:type="paragraph" w:styleId="ListParagraph">
    <w:name w:val="List Paragraph"/>
    <w:basedOn w:val="Normal"/>
    <w:uiPriority w:val="34"/>
    <w:qFormat/>
    <w:rsid w:val="00F60532"/>
    <w:pPr>
      <w:ind w:left="720"/>
      <w:contextualSpacing/>
    </w:pPr>
  </w:style>
  <w:style w:type="table" w:styleId="TableGrid">
    <w:name w:val="Table Grid"/>
    <w:basedOn w:val="TableNormal"/>
    <w:uiPriority w:val="59"/>
    <w:rsid w:val="004E0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D60"/>
    <w:pPr>
      <w:spacing w:after="0" w:line="240" w:lineRule="auto"/>
    </w:pPr>
    <w:rPr>
      <w:sz w:val="20"/>
      <w:szCs w:val="20"/>
    </w:rPr>
  </w:style>
  <w:style w:type="character" w:customStyle="1" w:styleId="FootnoteTextChar">
    <w:name w:val="Footnote Text Char"/>
    <w:basedOn w:val="DefaultParagraphFont"/>
    <w:link w:val="FootnoteText"/>
    <w:uiPriority w:val="99"/>
    <w:rsid w:val="00D63D60"/>
    <w:rPr>
      <w:sz w:val="20"/>
      <w:szCs w:val="20"/>
    </w:rPr>
  </w:style>
  <w:style w:type="character" w:styleId="FootnoteReference">
    <w:name w:val="footnote reference"/>
    <w:basedOn w:val="DefaultParagraphFont"/>
    <w:uiPriority w:val="99"/>
    <w:unhideWhenUsed/>
    <w:rsid w:val="00D63D60"/>
    <w:rPr>
      <w:vertAlign w:val="superscript"/>
    </w:rPr>
  </w:style>
  <w:style w:type="paragraph" w:styleId="BalloonText">
    <w:name w:val="Balloon Text"/>
    <w:basedOn w:val="Normal"/>
    <w:link w:val="BalloonTextChar"/>
    <w:uiPriority w:val="99"/>
    <w:semiHidden/>
    <w:unhideWhenUsed/>
    <w:rsid w:val="004D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B1"/>
    <w:rPr>
      <w:rFonts w:ascii="Tahoma" w:hAnsi="Tahoma" w:cs="Tahoma"/>
      <w:sz w:val="16"/>
      <w:szCs w:val="16"/>
    </w:rPr>
  </w:style>
  <w:style w:type="paragraph" w:styleId="Header">
    <w:name w:val="header"/>
    <w:basedOn w:val="Normal"/>
    <w:link w:val="HeaderChar"/>
    <w:uiPriority w:val="99"/>
    <w:unhideWhenUsed/>
    <w:rsid w:val="0064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B5"/>
  </w:style>
  <w:style w:type="paragraph" w:styleId="Footer">
    <w:name w:val="footer"/>
    <w:basedOn w:val="Normal"/>
    <w:link w:val="FooterChar"/>
    <w:uiPriority w:val="99"/>
    <w:unhideWhenUsed/>
    <w:rsid w:val="00647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B5"/>
  </w:style>
  <w:style w:type="character" w:customStyle="1" w:styleId="Heading1Char">
    <w:name w:val="Heading 1 Char"/>
    <w:basedOn w:val="DefaultParagraphFont"/>
    <w:link w:val="Heading1"/>
    <w:uiPriority w:val="9"/>
    <w:rsid w:val="006478B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478B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478B5"/>
    <w:rPr>
      <w:rFonts w:asciiTheme="majorHAnsi" w:eastAsiaTheme="majorEastAsia" w:hAnsiTheme="majorHAnsi" w:cstheme="majorBidi"/>
      <w:b/>
      <w:bCs/>
      <w:color w:val="4F81BD" w:themeColor="accent1"/>
      <w:lang w:val="en-US"/>
    </w:rPr>
  </w:style>
  <w:style w:type="character" w:styleId="CommentReference">
    <w:name w:val="annotation reference"/>
    <w:basedOn w:val="DefaultParagraphFont"/>
    <w:uiPriority w:val="99"/>
    <w:semiHidden/>
    <w:unhideWhenUsed/>
    <w:rsid w:val="006D23C8"/>
    <w:rPr>
      <w:sz w:val="21"/>
      <w:szCs w:val="21"/>
    </w:rPr>
  </w:style>
  <w:style w:type="paragraph" w:styleId="CommentText">
    <w:name w:val="annotation text"/>
    <w:basedOn w:val="Normal"/>
    <w:link w:val="CommentTextChar"/>
    <w:uiPriority w:val="99"/>
    <w:semiHidden/>
    <w:unhideWhenUsed/>
    <w:rsid w:val="006D23C8"/>
  </w:style>
  <w:style w:type="character" w:customStyle="1" w:styleId="CommentTextChar">
    <w:name w:val="Comment Text Char"/>
    <w:basedOn w:val="DefaultParagraphFont"/>
    <w:link w:val="CommentText"/>
    <w:uiPriority w:val="99"/>
    <w:semiHidden/>
    <w:rsid w:val="006D23C8"/>
  </w:style>
  <w:style w:type="paragraph" w:styleId="CommentSubject">
    <w:name w:val="annotation subject"/>
    <w:basedOn w:val="CommentText"/>
    <w:next w:val="CommentText"/>
    <w:link w:val="CommentSubjectChar"/>
    <w:uiPriority w:val="99"/>
    <w:semiHidden/>
    <w:unhideWhenUsed/>
    <w:rsid w:val="006D23C8"/>
    <w:rPr>
      <w:b/>
      <w:bCs/>
    </w:rPr>
  </w:style>
  <w:style w:type="character" w:customStyle="1" w:styleId="CommentSubjectChar">
    <w:name w:val="Comment Subject Char"/>
    <w:basedOn w:val="CommentTextChar"/>
    <w:link w:val="CommentSubject"/>
    <w:uiPriority w:val="99"/>
    <w:semiHidden/>
    <w:rsid w:val="006D23C8"/>
    <w:rPr>
      <w:b/>
      <w:bCs/>
    </w:rPr>
  </w:style>
  <w:style w:type="paragraph" w:styleId="TOCHeading">
    <w:name w:val="TOC Heading"/>
    <w:basedOn w:val="Heading1"/>
    <w:next w:val="Normal"/>
    <w:uiPriority w:val="39"/>
    <w:semiHidden/>
    <w:unhideWhenUsed/>
    <w:qFormat/>
    <w:rsid w:val="00B4128F"/>
    <w:pPr>
      <w:outlineLvl w:val="9"/>
    </w:pPr>
    <w:rPr>
      <w:lang w:eastAsia="ja-JP"/>
    </w:rPr>
  </w:style>
  <w:style w:type="paragraph" w:styleId="TOC1">
    <w:name w:val="toc 1"/>
    <w:basedOn w:val="Normal"/>
    <w:next w:val="Normal"/>
    <w:autoRedefine/>
    <w:uiPriority w:val="39"/>
    <w:unhideWhenUsed/>
    <w:rsid w:val="00B4128F"/>
    <w:pPr>
      <w:spacing w:after="100"/>
    </w:pPr>
  </w:style>
  <w:style w:type="paragraph" w:styleId="TOC2">
    <w:name w:val="toc 2"/>
    <w:basedOn w:val="Normal"/>
    <w:next w:val="Normal"/>
    <w:autoRedefine/>
    <w:uiPriority w:val="39"/>
    <w:unhideWhenUsed/>
    <w:rsid w:val="00B4128F"/>
    <w:pPr>
      <w:spacing w:after="100"/>
      <w:ind w:left="220"/>
    </w:pPr>
  </w:style>
  <w:style w:type="paragraph" w:styleId="TOC3">
    <w:name w:val="toc 3"/>
    <w:basedOn w:val="Normal"/>
    <w:next w:val="Normal"/>
    <w:autoRedefine/>
    <w:uiPriority w:val="39"/>
    <w:unhideWhenUsed/>
    <w:rsid w:val="00B4128F"/>
    <w:pPr>
      <w:spacing w:after="100"/>
      <w:ind w:left="440"/>
    </w:pPr>
  </w:style>
  <w:style w:type="character" w:customStyle="1" w:styleId="Heading4Char">
    <w:name w:val="Heading 4 Char"/>
    <w:basedOn w:val="DefaultParagraphFont"/>
    <w:link w:val="Heading4"/>
    <w:uiPriority w:val="9"/>
    <w:rsid w:val="00061362"/>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FE348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FE3489"/>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FE348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E348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E3489"/>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uiPriority w:val="35"/>
    <w:unhideWhenUsed/>
    <w:qFormat/>
    <w:rsid w:val="002A64E4"/>
    <w:pPr>
      <w:spacing w:line="240" w:lineRule="auto"/>
    </w:pPr>
    <w:rPr>
      <w:b/>
      <w:bCs/>
      <w:color w:val="4F81BD" w:themeColor="accent1"/>
      <w:sz w:val="18"/>
      <w:szCs w:val="18"/>
    </w:rPr>
  </w:style>
  <w:style w:type="paragraph" w:styleId="NormalWeb">
    <w:name w:val="Normal (Web)"/>
    <w:basedOn w:val="Normal"/>
    <w:uiPriority w:val="99"/>
    <w:semiHidden/>
    <w:unhideWhenUsed/>
    <w:rsid w:val="00B52FBB"/>
    <w:pPr>
      <w:spacing w:before="100" w:beforeAutospacing="1" w:after="100" w:afterAutospacing="1" w:line="240" w:lineRule="auto"/>
    </w:pPr>
    <w:rPr>
      <w:rFonts w:ascii="Times New Roman" w:hAnsi="Times New Roman" w:cs="Times New Roman"/>
      <w:sz w:val="24"/>
      <w:szCs w:val="24"/>
      <w:lang w:val="fr-FR" w:eastAsia="fr-FR"/>
    </w:rPr>
  </w:style>
  <w:style w:type="paragraph" w:styleId="TableofFigures">
    <w:name w:val="table of figures"/>
    <w:basedOn w:val="Normal"/>
    <w:next w:val="Normal"/>
    <w:uiPriority w:val="99"/>
    <w:unhideWhenUsed/>
    <w:rsid w:val="0015219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6478B5"/>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78B5"/>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78B5"/>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136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48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48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48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48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48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575"/>
    <w:rPr>
      <w:color w:val="0000FF" w:themeColor="hyperlink"/>
      <w:u w:val="single"/>
    </w:rPr>
  </w:style>
  <w:style w:type="paragraph" w:styleId="ListParagraph">
    <w:name w:val="List Paragraph"/>
    <w:basedOn w:val="Normal"/>
    <w:uiPriority w:val="34"/>
    <w:qFormat/>
    <w:rsid w:val="00F60532"/>
    <w:pPr>
      <w:ind w:left="720"/>
      <w:contextualSpacing/>
    </w:pPr>
  </w:style>
  <w:style w:type="table" w:styleId="TableGrid">
    <w:name w:val="Table Grid"/>
    <w:basedOn w:val="TableNormal"/>
    <w:uiPriority w:val="59"/>
    <w:rsid w:val="004E0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D60"/>
    <w:pPr>
      <w:spacing w:after="0" w:line="240" w:lineRule="auto"/>
    </w:pPr>
    <w:rPr>
      <w:sz w:val="20"/>
      <w:szCs w:val="20"/>
    </w:rPr>
  </w:style>
  <w:style w:type="character" w:customStyle="1" w:styleId="FootnoteTextChar">
    <w:name w:val="Footnote Text Char"/>
    <w:basedOn w:val="DefaultParagraphFont"/>
    <w:link w:val="FootnoteText"/>
    <w:uiPriority w:val="99"/>
    <w:rsid w:val="00D63D60"/>
    <w:rPr>
      <w:sz w:val="20"/>
      <w:szCs w:val="20"/>
    </w:rPr>
  </w:style>
  <w:style w:type="character" w:styleId="FootnoteReference">
    <w:name w:val="footnote reference"/>
    <w:basedOn w:val="DefaultParagraphFont"/>
    <w:uiPriority w:val="99"/>
    <w:unhideWhenUsed/>
    <w:rsid w:val="00D63D60"/>
    <w:rPr>
      <w:vertAlign w:val="superscript"/>
    </w:rPr>
  </w:style>
  <w:style w:type="paragraph" w:styleId="BalloonText">
    <w:name w:val="Balloon Text"/>
    <w:basedOn w:val="Normal"/>
    <w:link w:val="BalloonTextChar"/>
    <w:uiPriority w:val="99"/>
    <w:semiHidden/>
    <w:unhideWhenUsed/>
    <w:rsid w:val="004D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B1"/>
    <w:rPr>
      <w:rFonts w:ascii="Tahoma" w:hAnsi="Tahoma" w:cs="Tahoma"/>
      <w:sz w:val="16"/>
      <w:szCs w:val="16"/>
    </w:rPr>
  </w:style>
  <w:style w:type="paragraph" w:styleId="Header">
    <w:name w:val="header"/>
    <w:basedOn w:val="Normal"/>
    <w:link w:val="HeaderChar"/>
    <w:uiPriority w:val="99"/>
    <w:unhideWhenUsed/>
    <w:rsid w:val="0064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B5"/>
  </w:style>
  <w:style w:type="paragraph" w:styleId="Footer">
    <w:name w:val="footer"/>
    <w:basedOn w:val="Normal"/>
    <w:link w:val="FooterChar"/>
    <w:uiPriority w:val="99"/>
    <w:unhideWhenUsed/>
    <w:rsid w:val="00647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B5"/>
  </w:style>
  <w:style w:type="character" w:customStyle="1" w:styleId="Heading1Char">
    <w:name w:val="Heading 1 Char"/>
    <w:basedOn w:val="DefaultParagraphFont"/>
    <w:link w:val="Heading1"/>
    <w:uiPriority w:val="9"/>
    <w:rsid w:val="006478B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478B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478B5"/>
    <w:rPr>
      <w:rFonts w:asciiTheme="majorHAnsi" w:eastAsiaTheme="majorEastAsia" w:hAnsiTheme="majorHAnsi" w:cstheme="majorBidi"/>
      <w:b/>
      <w:bCs/>
      <w:color w:val="4F81BD" w:themeColor="accent1"/>
      <w:lang w:val="en-US"/>
    </w:rPr>
  </w:style>
  <w:style w:type="character" w:styleId="CommentReference">
    <w:name w:val="annotation reference"/>
    <w:basedOn w:val="DefaultParagraphFont"/>
    <w:uiPriority w:val="99"/>
    <w:semiHidden/>
    <w:unhideWhenUsed/>
    <w:rsid w:val="006D23C8"/>
    <w:rPr>
      <w:sz w:val="21"/>
      <w:szCs w:val="21"/>
    </w:rPr>
  </w:style>
  <w:style w:type="paragraph" w:styleId="CommentText">
    <w:name w:val="annotation text"/>
    <w:basedOn w:val="Normal"/>
    <w:link w:val="CommentTextChar"/>
    <w:uiPriority w:val="99"/>
    <w:semiHidden/>
    <w:unhideWhenUsed/>
    <w:rsid w:val="006D23C8"/>
  </w:style>
  <w:style w:type="character" w:customStyle="1" w:styleId="CommentTextChar">
    <w:name w:val="Comment Text Char"/>
    <w:basedOn w:val="DefaultParagraphFont"/>
    <w:link w:val="CommentText"/>
    <w:uiPriority w:val="99"/>
    <w:semiHidden/>
    <w:rsid w:val="006D23C8"/>
  </w:style>
  <w:style w:type="paragraph" w:styleId="CommentSubject">
    <w:name w:val="annotation subject"/>
    <w:basedOn w:val="CommentText"/>
    <w:next w:val="CommentText"/>
    <w:link w:val="CommentSubjectChar"/>
    <w:uiPriority w:val="99"/>
    <w:semiHidden/>
    <w:unhideWhenUsed/>
    <w:rsid w:val="006D23C8"/>
    <w:rPr>
      <w:b/>
      <w:bCs/>
    </w:rPr>
  </w:style>
  <w:style w:type="character" w:customStyle="1" w:styleId="CommentSubjectChar">
    <w:name w:val="Comment Subject Char"/>
    <w:basedOn w:val="CommentTextChar"/>
    <w:link w:val="CommentSubject"/>
    <w:uiPriority w:val="99"/>
    <w:semiHidden/>
    <w:rsid w:val="006D23C8"/>
    <w:rPr>
      <w:b/>
      <w:bCs/>
    </w:rPr>
  </w:style>
  <w:style w:type="paragraph" w:styleId="TOCHeading">
    <w:name w:val="TOC Heading"/>
    <w:basedOn w:val="Heading1"/>
    <w:next w:val="Normal"/>
    <w:uiPriority w:val="39"/>
    <w:semiHidden/>
    <w:unhideWhenUsed/>
    <w:qFormat/>
    <w:rsid w:val="00B4128F"/>
    <w:pPr>
      <w:outlineLvl w:val="9"/>
    </w:pPr>
    <w:rPr>
      <w:lang w:eastAsia="ja-JP"/>
    </w:rPr>
  </w:style>
  <w:style w:type="paragraph" w:styleId="TOC1">
    <w:name w:val="toc 1"/>
    <w:basedOn w:val="Normal"/>
    <w:next w:val="Normal"/>
    <w:autoRedefine/>
    <w:uiPriority w:val="39"/>
    <w:unhideWhenUsed/>
    <w:rsid w:val="00B4128F"/>
    <w:pPr>
      <w:spacing w:after="100"/>
    </w:pPr>
  </w:style>
  <w:style w:type="paragraph" w:styleId="TOC2">
    <w:name w:val="toc 2"/>
    <w:basedOn w:val="Normal"/>
    <w:next w:val="Normal"/>
    <w:autoRedefine/>
    <w:uiPriority w:val="39"/>
    <w:unhideWhenUsed/>
    <w:rsid w:val="00B4128F"/>
    <w:pPr>
      <w:spacing w:after="100"/>
      <w:ind w:left="220"/>
    </w:pPr>
  </w:style>
  <w:style w:type="paragraph" w:styleId="TOC3">
    <w:name w:val="toc 3"/>
    <w:basedOn w:val="Normal"/>
    <w:next w:val="Normal"/>
    <w:autoRedefine/>
    <w:uiPriority w:val="39"/>
    <w:unhideWhenUsed/>
    <w:rsid w:val="00B4128F"/>
    <w:pPr>
      <w:spacing w:after="100"/>
      <w:ind w:left="440"/>
    </w:pPr>
  </w:style>
  <w:style w:type="character" w:customStyle="1" w:styleId="Heading4Char">
    <w:name w:val="Heading 4 Char"/>
    <w:basedOn w:val="DefaultParagraphFont"/>
    <w:link w:val="Heading4"/>
    <w:uiPriority w:val="9"/>
    <w:rsid w:val="00061362"/>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FE348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FE3489"/>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FE348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E348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E3489"/>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uiPriority w:val="35"/>
    <w:unhideWhenUsed/>
    <w:qFormat/>
    <w:rsid w:val="002A64E4"/>
    <w:pPr>
      <w:spacing w:line="240" w:lineRule="auto"/>
    </w:pPr>
    <w:rPr>
      <w:b/>
      <w:bCs/>
      <w:color w:val="4F81BD" w:themeColor="accent1"/>
      <w:sz w:val="18"/>
      <w:szCs w:val="18"/>
    </w:rPr>
  </w:style>
  <w:style w:type="paragraph" w:styleId="NormalWeb">
    <w:name w:val="Normal (Web)"/>
    <w:basedOn w:val="Normal"/>
    <w:uiPriority w:val="99"/>
    <w:semiHidden/>
    <w:unhideWhenUsed/>
    <w:rsid w:val="00B52FBB"/>
    <w:pPr>
      <w:spacing w:before="100" w:beforeAutospacing="1" w:after="100" w:afterAutospacing="1" w:line="240" w:lineRule="auto"/>
    </w:pPr>
    <w:rPr>
      <w:rFonts w:ascii="Times New Roman" w:hAnsi="Times New Roman" w:cs="Times New Roman"/>
      <w:sz w:val="24"/>
      <w:szCs w:val="24"/>
      <w:lang w:val="fr-FR" w:eastAsia="fr-FR"/>
    </w:rPr>
  </w:style>
  <w:style w:type="paragraph" w:styleId="TableofFigures">
    <w:name w:val="table of figures"/>
    <w:basedOn w:val="Normal"/>
    <w:next w:val="Normal"/>
    <w:uiPriority w:val="99"/>
    <w:unhideWhenUsed/>
    <w:rsid w:val="0015219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492">
      <w:bodyDiv w:val="1"/>
      <w:marLeft w:val="0"/>
      <w:marRight w:val="0"/>
      <w:marTop w:val="0"/>
      <w:marBottom w:val="0"/>
      <w:divBdr>
        <w:top w:val="none" w:sz="0" w:space="0" w:color="auto"/>
        <w:left w:val="none" w:sz="0" w:space="0" w:color="auto"/>
        <w:bottom w:val="none" w:sz="0" w:space="0" w:color="auto"/>
        <w:right w:val="none" w:sz="0" w:space="0" w:color="auto"/>
      </w:divBdr>
    </w:div>
    <w:div w:id="224486049">
      <w:bodyDiv w:val="1"/>
      <w:marLeft w:val="0"/>
      <w:marRight w:val="0"/>
      <w:marTop w:val="0"/>
      <w:marBottom w:val="0"/>
      <w:divBdr>
        <w:top w:val="none" w:sz="0" w:space="0" w:color="auto"/>
        <w:left w:val="none" w:sz="0" w:space="0" w:color="auto"/>
        <w:bottom w:val="none" w:sz="0" w:space="0" w:color="auto"/>
        <w:right w:val="none" w:sz="0" w:space="0" w:color="auto"/>
      </w:divBdr>
    </w:div>
    <w:div w:id="277377055">
      <w:bodyDiv w:val="1"/>
      <w:marLeft w:val="0"/>
      <w:marRight w:val="0"/>
      <w:marTop w:val="0"/>
      <w:marBottom w:val="0"/>
      <w:divBdr>
        <w:top w:val="none" w:sz="0" w:space="0" w:color="auto"/>
        <w:left w:val="none" w:sz="0" w:space="0" w:color="auto"/>
        <w:bottom w:val="none" w:sz="0" w:space="0" w:color="auto"/>
        <w:right w:val="none" w:sz="0" w:space="0" w:color="auto"/>
      </w:divBdr>
    </w:div>
    <w:div w:id="383867653">
      <w:bodyDiv w:val="1"/>
      <w:marLeft w:val="0"/>
      <w:marRight w:val="0"/>
      <w:marTop w:val="0"/>
      <w:marBottom w:val="0"/>
      <w:divBdr>
        <w:top w:val="none" w:sz="0" w:space="0" w:color="auto"/>
        <w:left w:val="none" w:sz="0" w:space="0" w:color="auto"/>
        <w:bottom w:val="none" w:sz="0" w:space="0" w:color="auto"/>
        <w:right w:val="none" w:sz="0" w:space="0" w:color="auto"/>
      </w:divBdr>
    </w:div>
    <w:div w:id="497311527">
      <w:bodyDiv w:val="1"/>
      <w:marLeft w:val="0"/>
      <w:marRight w:val="0"/>
      <w:marTop w:val="0"/>
      <w:marBottom w:val="0"/>
      <w:divBdr>
        <w:top w:val="none" w:sz="0" w:space="0" w:color="auto"/>
        <w:left w:val="none" w:sz="0" w:space="0" w:color="auto"/>
        <w:bottom w:val="none" w:sz="0" w:space="0" w:color="auto"/>
        <w:right w:val="none" w:sz="0" w:space="0" w:color="auto"/>
      </w:divBdr>
    </w:div>
    <w:div w:id="554438183">
      <w:bodyDiv w:val="1"/>
      <w:marLeft w:val="0"/>
      <w:marRight w:val="0"/>
      <w:marTop w:val="0"/>
      <w:marBottom w:val="0"/>
      <w:divBdr>
        <w:top w:val="none" w:sz="0" w:space="0" w:color="auto"/>
        <w:left w:val="none" w:sz="0" w:space="0" w:color="auto"/>
        <w:bottom w:val="none" w:sz="0" w:space="0" w:color="auto"/>
        <w:right w:val="none" w:sz="0" w:space="0" w:color="auto"/>
      </w:divBdr>
    </w:div>
    <w:div w:id="557936123">
      <w:bodyDiv w:val="1"/>
      <w:marLeft w:val="0"/>
      <w:marRight w:val="0"/>
      <w:marTop w:val="0"/>
      <w:marBottom w:val="0"/>
      <w:divBdr>
        <w:top w:val="none" w:sz="0" w:space="0" w:color="auto"/>
        <w:left w:val="none" w:sz="0" w:space="0" w:color="auto"/>
        <w:bottom w:val="none" w:sz="0" w:space="0" w:color="auto"/>
        <w:right w:val="none" w:sz="0" w:space="0" w:color="auto"/>
      </w:divBdr>
    </w:div>
    <w:div w:id="732390062">
      <w:bodyDiv w:val="1"/>
      <w:marLeft w:val="0"/>
      <w:marRight w:val="0"/>
      <w:marTop w:val="0"/>
      <w:marBottom w:val="0"/>
      <w:divBdr>
        <w:top w:val="none" w:sz="0" w:space="0" w:color="auto"/>
        <w:left w:val="none" w:sz="0" w:space="0" w:color="auto"/>
        <w:bottom w:val="none" w:sz="0" w:space="0" w:color="auto"/>
        <w:right w:val="none" w:sz="0" w:space="0" w:color="auto"/>
      </w:divBdr>
    </w:div>
    <w:div w:id="748886729">
      <w:bodyDiv w:val="1"/>
      <w:marLeft w:val="0"/>
      <w:marRight w:val="0"/>
      <w:marTop w:val="0"/>
      <w:marBottom w:val="0"/>
      <w:divBdr>
        <w:top w:val="none" w:sz="0" w:space="0" w:color="auto"/>
        <w:left w:val="none" w:sz="0" w:space="0" w:color="auto"/>
        <w:bottom w:val="none" w:sz="0" w:space="0" w:color="auto"/>
        <w:right w:val="none" w:sz="0" w:space="0" w:color="auto"/>
      </w:divBdr>
    </w:div>
    <w:div w:id="1027028507">
      <w:bodyDiv w:val="1"/>
      <w:marLeft w:val="0"/>
      <w:marRight w:val="0"/>
      <w:marTop w:val="0"/>
      <w:marBottom w:val="0"/>
      <w:divBdr>
        <w:top w:val="none" w:sz="0" w:space="0" w:color="auto"/>
        <w:left w:val="none" w:sz="0" w:space="0" w:color="auto"/>
        <w:bottom w:val="none" w:sz="0" w:space="0" w:color="auto"/>
        <w:right w:val="none" w:sz="0" w:space="0" w:color="auto"/>
      </w:divBdr>
    </w:div>
    <w:div w:id="1041705583">
      <w:bodyDiv w:val="1"/>
      <w:marLeft w:val="0"/>
      <w:marRight w:val="0"/>
      <w:marTop w:val="0"/>
      <w:marBottom w:val="0"/>
      <w:divBdr>
        <w:top w:val="none" w:sz="0" w:space="0" w:color="auto"/>
        <w:left w:val="none" w:sz="0" w:space="0" w:color="auto"/>
        <w:bottom w:val="none" w:sz="0" w:space="0" w:color="auto"/>
        <w:right w:val="none" w:sz="0" w:space="0" w:color="auto"/>
      </w:divBdr>
    </w:div>
    <w:div w:id="1166361535">
      <w:bodyDiv w:val="1"/>
      <w:marLeft w:val="0"/>
      <w:marRight w:val="0"/>
      <w:marTop w:val="0"/>
      <w:marBottom w:val="0"/>
      <w:divBdr>
        <w:top w:val="none" w:sz="0" w:space="0" w:color="auto"/>
        <w:left w:val="none" w:sz="0" w:space="0" w:color="auto"/>
        <w:bottom w:val="none" w:sz="0" w:space="0" w:color="auto"/>
        <w:right w:val="none" w:sz="0" w:space="0" w:color="auto"/>
      </w:divBdr>
    </w:div>
    <w:div w:id="1229999866">
      <w:bodyDiv w:val="1"/>
      <w:marLeft w:val="0"/>
      <w:marRight w:val="0"/>
      <w:marTop w:val="0"/>
      <w:marBottom w:val="0"/>
      <w:divBdr>
        <w:top w:val="none" w:sz="0" w:space="0" w:color="auto"/>
        <w:left w:val="none" w:sz="0" w:space="0" w:color="auto"/>
        <w:bottom w:val="none" w:sz="0" w:space="0" w:color="auto"/>
        <w:right w:val="none" w:sz="0" w:space="0" w:color="auto"/>
      </w:divBdr>
    </w:div>
    <w:div w:id="1301810427">
      <w:bodyDiv w:val="1"/>
      <w:marLeft w:val="0"/>
      <w:marRight w:val="0"/>
      <w:marTop w:val="0"/>
      <w:marBottom w:val="0"/>
      <w:divBdr>
        <w:top w:val="none" w:sz="0" w:space="0" w:color="auto"/>
        <w:left w:val="none" w:sz="0" w:space="0" w:color="auto"/>
        <w:bottom w:val="none" w:sz="0" w:space="0" w:color="auto"/>
        <w:right w:val="none" w:sz="0" w:space="0" w:color="auto"/>
      </w:divBdr>
    </w:div>
    <w:div w:id="1332103066">
      <w:bodyDiv w:val="1"/>
      <w:marLeft w:val="0"/>
      <w:marRight w:val="0"/>
      <w:marTop w:val="0"/>
      <w:marBottom w:val="0"/>
      <w:divBdr>
        <w:top w:val="none" w:sz="0" w:space="0" w:color="auto"/>
        <w:left w:val="none" w:sz="0" w:space="0" w:color="auto"/>
        <w:bottom w:val="none" w:sz="0" w:space="0" w:color="auto"/>
        <w:right w:val="none" w:sz="0" w:space="0" w:color="auto"/>
      </w:divBdr>
    </w:div>
    <w:div w:id="144430535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5245096">
      <w:bodyDiv w:val="1"/>
      <w:marLeft w:val="0"/>
      <w:marRight w:val="0"/>
      <w:marTop w:val="0"/>
      <w:marBottom w:val="0"/>
      <w:divBdr>
        <w:top w:val="none" w:sz="0" w:space="0" w:color="auto"/>
        <w:left w:val="none" w:sz="0" w:space="0" w:color="auto"/>
        <w:bottom w:val="none" w:sz="0" w:space="0" w:color="auto"/>
        <w:right w:val="none" w:sz="0" w:space="0" w:color="auto"/>
      </w:divBdr>
    </w:div>
    <w:div w:id="1590888485">
      <w:bodyDiv w:val="1"/>
      <w:marLeft w:val="0"/>
      <w:marRight w:val="0"/>
      <w:marTop w:val="0"/>
      <w:marBottom w:val="0"/>
      <w:divBdr>
        <w:top w:val="none" w:sz="0" w:space="0" w:color="auto"/>
        <w:left w:val="none" w:sz="0" w:space="0" w:color="auto"/>
        <w:bottom w:val="none" w:sz="0" w:space="0" w:color="auto"/>
        <w:right w:val="none" w:sz="0" w:space="0" w:color="auto"/>
      </w:divBdr>
    </w:div>
    <w:div w:id="1603563586">
      <w:bodyDiv w:val="1"/>
      <w:marLeft w:val="0"/>
      <w:marRight w:val="0"/>
      <w:marTop w:val="0"/>
      <w:marBottom w:val="0"/>
      <w:divBdr>
        <w:top w:val="none" w:sz="0" w:space="0" w:color="auto"/>
        <w:left w:val="none" w:sz="0" w:space="0" w:color="auto"/>
        <w:bottom w:val="none" w:sz="0" w:space="0" w:color="auto"/>
        <w:right w:val="none" w:sz="0" w:space="0" w:color="auto"/>
      </w:divBdr>
    </w:div>
    <w:div w:id="1610040306">
      <w:bodyDiv w:val="1"/>
      <w:marLeft w:val="0"/>
      <w:marRight w:val="0"/>
      <w:marTop w:val="0"/>
      <w:marBottom w:val="0"/>
      <w:divBdr>
        <w:top w:val="none" w:sz="0" w:space="0" w:color="auto"/>
        <w:left w:val="none" w:sz="0" w:space="0" w:color="auto"/>
        <w:bottom w:val="none" w:sz="0" w:space="0" w:color="auto"/>
        <w:right w:val="none" w:sz="0" w:space="0" w:color="auto"/>
      </w:divBdr>
    </w:div>
    <w:div w:id="1776287925">
      <w:bodyDiv w:val="1"/>
      <w:marLeft w:val="0"/>
      <w:marRight w:val="0"/>
      <w:marTop w:val="0"/>
      <w:marBottom w:val="0"/>
      <w:divBdr>
        <w:top w:val="none" w:sz="0" w:space="0" w:color="auto"/>
        <w:left w:val="none" w:sz="0" w:space="0" w:color="auto"/>
        <w:bottom w:val="none" w:sz="0" w:space="0" w:color="auto"/>
        <w:right w:val="none" w:sz="0" w:space="0" w:color="auto"/>
      </w:divBdr>
    </w:div>
    <w:div w:id="1795978837">
      <w:bodyDiv w:val="1"/>
      <w:marLeft w:val="0"/>
      <w:marRight w:val="0"/>
      <w:marTop w:val="0"/>
      <w:marBottom w:val="0"/>
      <w:divBdr>
        <w:top w:val="none" w:sz="0" w:space="0" w:color="auto"/>
        <w:left w:val="none" w:sz="0" w:space="0" w:color="auto"/>
        <w:bottom w:val="none" w:sz="0" w:space="0" w:color="auto"/>
        <w:right w:val="none" w:sz="0" w:space="0" w:color="auto"/>
      </w:divBdr>
    </w:div>
    <w:div w:id="1870487216">
      <w:bodyDiv w:val="1"/>
      <w:marLeft w:val="0"/>
      <w:marRight w:val="0"/>
      <w:marTop w:val="0"/>
      <w:marBottom w:val="0"/>
      <w:divBdr>
        <w:top w:val="none" w:sz="0" w:space="0" w:color="auto"/>
        <w:left w:val="none" w:sz="0" w:space="0" w:color="auto"/>
        <w:bottom w:val="none" w:sz="0" w:space="0" w:color="auto"/>
        <w:right w:val="none" w:sz="0" w:space="0" w:color="auto"/>
      </w:divBdr>
    </w:div>
    <w:div w:id="1963539472">
      <w:bodyDiv w:val="1"/>
      <w:marLeft w:val="0"/>
      <w:marRight w:val="0"/>
      <w:marTop w:val="0"/>
      <w:marBottom w:val="0"/>
      <w:divBdr>
        <w:top w:val="none" w:sz="0" w:space="0" w:color="auto"/>
        <w:left w:val="none" w:sz="0" w:space="0" w:color="auto"/>
        <w:bottom w:val="none" w:sz="0" w:space="0" w:color="auto"/>
        <w:right w:val="none" w:sz="0" w:space="0" w:color="auto"/>
      </w:divBdr>
    </w:div>
    <w:div w:id="20634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omas.spencer\Google%20Drive\Iddri\Projects\COP21%20+%20positive%20agenda\Activities\Paper%20on%20targets\WB%20GDP%20per%20capi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omas.spencer\Google%20Drive\Iddri\Projects\COP21%20+%20positive%20agenda\Activities\Paper%20on%20targets\CO2%20per%20ca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omas.spencer\Google%20Drive\Iddri\Projects\COP21%20+%20positive%20agenda\Activities\Paper%20on%20targets\GDP&amp;CO2%20v2.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omas.spencer\Google%20Drive\Iddri\Projects\COP21%20+%20positive%20agenda\Activities\Paper%20on%20targets\Classification%20objectifs%20nationaux.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omas.spencer\Google%20Drive\Iddri\Projects\COP21%20+%20positive%20agenda\Activities\Paper%20on%20targets\Classification%20objectifs%20nationau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'[WB GDP per capita.xlsx]GDP per cap annex'!$AA$2</c:f>
              <c:strCache>
                <c:ptCount val="1"/>
                <c:pt idx="0">
                  <c:v>Non Annex I</c:v>
                </c:pt>
              </c:strCache>
            </c:strRef>
          </c:tx>
          <c:invertIfNegative val="0"/>
          <c:val>
            <c:numRef>
              <c:f>'[WB GDP per capita.xlsx]GDP per cap annex'!$AA$3:$AA$179</c:f>
              <c:numCache>
                <c:formatCode>General</c:formatCode>
                <c:ptCount val="177"/>
                <c:pt idx="0">
                  <c:v>91189.107852620029</c:v>
                </c:pt>
                <c:pt idx="2">
                  <c:v>86340.880425833893</c:v>
                </c:pt>
                <c:pt idx="4">
                  <c:v>60800.451714338058</c:v>
                </c:pt>
                <c:pt idx="6">
                  <c:v>52482.334482746926</c:v>
                </c:pt>
                <c:pt idx="8">
                  <c:v>51102.74494612182</c:v>
                </c:pt>
                <c:pt idx="9">
                  <c:v>46384.715266514213</c:v>
                </c:pt>
                <c:pt idx="17">
                  <c:v>41397.107008405947</c:v>
                </c:pt>
                <c:pt idx="28">
                  <c:v>31344.652339481891</c:v>
                </c:pt>
                <c:pt idx="29">
                  <c:v>31214.24543792841</c:v>
                </c:pt>
                <c:pt idx="30">
                  <c:v>31115.999338135891</c:v>
                </c:pt>
                <c:pt idx="32">
                  <c:v>30010.565362303609</c:v>
                </c:pt>
                <c:pt idx="33">
                  <c:v>29742.4807753081</c:v>
                </c:pt>
                <c:pt idx="35">
                  <c:v>28924.198837068721</c:v>
                </c:pt>
                <c:pt idx="38">
                  <c:v>26571.796685883281</c:v>
                </c:pt>
                <c:pt idx="39">
                  <c:v>26549.718328620431</c:v>
                </c:pt>
                <c:pt idx="40">
                  <c:v>26487.765047628109</c:v>
                </c:pt>
                <c:pt idx="41">
                  <c:v>26222.57667220282</c:v>
                </c:pt>
                <c:pt idx="51">
                  <c:v>21468.088043462809</c:v>
                </c:pt>
                <c:pt idx="53">
                  <c:v>19640.352261503602</c:v>
                </c:pt>
                <c:pt idx="54">
                  <c:v>18721.991020525111</c:v>
                </c:pt>
                <c:pt idx="56">
                  <c:v>18383.7639333603</c:v>
                </c:pt>
                <c:pt idx="58">
                  <c:v>16918.510293107782</c:v>
                </c:pt>
                <c:pt idx="59">
                  <c:v>16426.028407754209</c:v>
                </c:pt>
                <c:pt idx="60">
                  <c:v>16345.701367756879</c:v>
                </c:pt>
                <c:pt idx="61">
                  <c:v>16104.90527117095</c:v>
                </c:pt>
                <c:pt idx="63">
                  <c:v>15776.49827248674</c:v>
                </c:pt>
                <c:pt idx="64">
                  <c:v>15764.65001177249</c:v>
                </c:pt>
                <c:pt idx="66">
                  <c:v>14902.27412212162</c:v>
                </c:pt>
                <c:pt idx="67">
                  <c:v>14372.881139832291</c:v>
                </c:pt>
                <c:pt idx="68">
                  <c:v>14357.86808412448</c:v>
                </c:pt>
                <c:pt idx="69">
                  <c:v>13671.74708055988</c:v>
                </c:pt>
                <c:pt idx="70">
                  <c:v>13266.666733143489</c:v>
                </c:pt>
                <c:pt idx="71">
                  <c:v>12733.427546743</c:v>
                </c:pt>
                <c:pt idx="72">
                  <c:v>12426.103551669239</c:v>
                </c:pt>
                <c:pt idx="73">
                  <c:v>12274.954046778221</c:v>
                </c:pt>
                <c:pt idx="74">
                  <c:v>11834.43930407369</c:v>
                </c:pt>
                <c:pt idx="75">
                  <c:v>11801.27382232486</c:v>
                </c:pt>
                <c:pt idx="76">
                  <c:v>11715.69666558648</c:v>
                </c:pt>
                <c:pt idx="77">
                  <c:v>11427.196955435091</c:v>
                </c:pt>
                <c:pt idx="78">
                  <c:v>11046.671324980931</c:v>
                </c:pt>
                <c:pt idx="79">
                  <c:v>11021.02076701164</c:v>
                </c:pt>
                <c:pt idx="80">
                  <c:v>10927.944689520409</c:v>
                </c:pt>
                <c:pt idx="81">
                  <c:v>10765.396060537139</c:v>
                </c:pt>
                <c:pt idx="82">
                  <c:v>10435.98776598079</c:v>
                </c:pt>
                <c:pt idx="83">
                  <c:v>10411.450526151189</c:v>
                </c:pt>
                <c:pt idx="84">
                  <c:v>10127.103182635259</c:v>
                </c:pt>
                <c:pt idx="85">
                  <c:v>10038.05697228903</c:v>
                </c:pt>
                <c:pt idx="86">
                  <c:v>9660.4782930669317</c:v>
                </c:pt>
                <c:pt idx="87">
                  <c:v>9637.0838477737288</c:v>
                </c:pt>
                <c:pt idx="88">
                  <c:v>9635.6682349805942</c:v>
                </c:pt>
                <c:pt idx="89">
                  <c:v>9403.4324598948151</c:v>
                </c:pt>
                <c:pt idx="90">
                  <c:v>9392.4743907699249</c:v>
                </c:pt>
                <c:pt idx="91">
                  <c:v>9083.203914434971</c:v>
                </c:pt>
                <c:pt idx="92">
                  <c:v>8924.5980600713829</c:v>
                </c:pt>
                <c:pt idx="93">
                  <c:v>8721.8869832375021</c:v>
                </c:pt>
                <c:pt idx="94">
                  <c:v>8446.5591871093311</c:v>
                </c:pt>
                <c:pt idx="95">
                  <c:v>7936.8445563014538</c:v>
                </c:pt>
                <c:pt idx="96">
                  <c:v>7442.3363433526138</c:v>
                </c:pt>
                <c:pt idx="97">
                  <c:v>7434.8275214894466</c:v>
                </c:pt>
                <c:pt idx="99">
                  <c:v>6991.0422610340629</c:v>
                </c:pt>
                <c:pt idx="100">
                  <c:v>6614.2287361241906</c:v>
                </c:pt>
                <c:pt idx="101">
                  <c:v>6590.6862024685097</c:v>
                </c:pt>
                <c:pt idx="102">
                  <c:v>6544.4154383272326</c:v>
                </c:pt>
                <c:pt idx="103">
                  <c:v>6145.8517434299611</c:v>
                </c:pt>
                <c:pt idx="104">
                  <c:v>6037.990989880027</c:v>
                </c:pt>
                <c:pt idx="105">
                  <c:v>6037.1033889689515</c:v>
                </c:pt>
                <c:pt idx="106">
                  <c:v>6006.3368643925023</c:v>
                </c:pt>
                <c:pt idx="107">
                  <c:v>5833.0578779620864</c:v>
                </c:pt>
                <c:pt idx="108">
                  <c:v>5373.5925627809102</c:v>
                </c:pt>
                <c:pt idx="109">
                  <c:v>5219.8821050344704</c:v>
                </c:pt>
                <c:pt idx="110">
                  <c:v>5195.5799189610416</c:v>
                </c:pt>
                <c:pt idx="111">
                  <c:v>5161.1442198141604</c:v>
                </c:pt>
                <c:pt idx="112">
                  <c:v>5019.4064157550756</c:v>
                </c:pt>
                <c:pt idx="113">
                  <c:v>4881.0547174893327</c:v>
                </c:pt>
                <c:pt idx="114">
                  <c:v>4876.8889614572299</c:v>
                </c:pt>
                <c:pt idx="115">
                  <c:v>4875.7049334485209</c:v>
                </c:pt>
                <c:pt idx="116">
                  <c:v>4845.8952913381818</c:v>
                </c:pt>
                <c:pt idx="117">
                  <c:v>4530.786223426293</c:v>
                </c:pt>
                <c:pt idx="118">
                  <c:v>4492.510746327167</c:v>
                </c:pt>
                <c:pt idx="119">
                  <c:v>4354.2610857378231</c:v>
                </c:pt>
                <c:pt idx="120">
                  <c:v>4338.7135551224064</c:v>
                </c:pt>
                <c:pt idx="121">
                  <c:v>4174.3234568637299</c:v>
                </c:pt>
                <c:pt idx="122">
                  <c:v>4005.9146450472772</c:v>
                </c:pt>
                <c:pt idx="123">
                  <c:v>3869.6509537870429</c:v>
                </c:pt>
                <c:pt idx="124">
                  <c:v>3787.4233432675642</c:v>
                </c:pt>
                <c:pt idx="125">
                  <c:v>3726.1769867994039</c:v>
                </c:pt>
                <c:pt idx="126">
                  <c:v>3533.1055584654769</c:v>
                </c:pt>
                <c:pt idx="127">
                  <c:v>3368.279850044531</c:v>
                </c:pt>
                <c:pt idx="128">
                  <c:v>3344.0957558214359</c:v>
                </c:pt>
                <c:pt idx="129">
                  <c:v>3075.9414142742171</c:v>
                </c:pt>
                <c:pt idx="130">
                  <c:v>2879.0610512074682</c:v>
                </c:pt>
                <c:pt idx="131">
                  <c:v>2851.1012574105812</c:v>
                </c:pt>
                <c:pt idx="132">
                  <c:v>2741.3705752436072</c:v>
                </c:pt>
                <c:pt idx="133">
                  <c:v>2619.921106611107</c:v>
                </c:pt>
                <c:pt idx="134">
                  <c:v>2618.0306802109772</c:v>
                </c:pt>
                <c:pt idx="135">
                  <c:v>2560.9439163437769</c:v>
                </c:pt>
                <c:pt idx="136">
                  <c:v>2453.9214976860621</c:v>
                </c:pt>
                <c:pt idx="137">
                  <c:v>2448.476428086492</c:v>
                </c:pt>
                <c:pt idx="138">
                  <c:v>2359.7160797421061</c:v>
                </c:pt>
                <c:pt idx="139">
                  <c:v>2311.6776923101602</c:v>
                </c:pt>
                <c:pt idx="140">
                  <c:v>2191.8588561470301</c:v>
                </c:pt>
                <c:pt idx="141">
                  <c:v>2162.1305701994402</c:v>
                </c:pt>
                <c:pt idx="142">
                  <c:v>2134.914494055462</c:v>
                </c:pt>
                <c:pt idx="143">
                  <c:v>2013.973978407596</c:v>
                </c:pt>
                <c:pt idx="144">
                  <c:v>2006.086248830642</c:v>
                </c:pt>
                <c:pt idx="145">
                  <c:v>1931.208370611567</c:v>
                </c:pt>
                <c:pt idx="146">
                  <c:v>1907.7416725373771</c:v>
                </c:pt>
                <c:pt idx="147">
                  <c:v>1903.177360241443</c:v>
                </c:pt>
                <c:pt idx="148">
                  <c:v>1851.0283844833721</c:v>
                </c:pt>
                <c:pt idx="149">
                  <c:v>1822.171541161523</c:v>
                </c:pt>
                <c:pt idx="150">
                  <c:v>1736.8979625575209</c:v>
                </c:pt>
                <c:pt idx="151">
                  <c:v>1682.864391029613</c:v>
                </c:pt>
                <c:pt idx="152">
                  <c:v>1660.3318478282531</c:v>
                </c:pt>
                <c:pt idx="153">
                  <c:v>1574.77555785091</c:v>
                </c:pt>
                <c:pt idx="154">
                  <c:v>1560.669382338752</c:v>
                </c:pt>
                <c:pt idx="155">
                  <c:v>1557.1577792069279</c:v>
                </c:pt>
                <c:pt idx="156">
                  <c:v>1481.7054024604431</c:v>
                </c:pt>
                <c:pt idx="157">
                  <c:v>1456.8509820556189</c:v>
                </c:pt>
                <c:pt idx="158">
                  <c:v>1337.0041570019409</c:v>
                </c:pt>
                <c:pt idx="159">
                  <c:v>1332.2791733130121</c:v>
                </c:pt>
                <c:pt idx="160">
                  <c:v>1329.601617060858</c:v>
                </c:pt>
                <c:pt idx="161">
                  <c:v>1209.7884891099461</c:v>
                </c:pt>
                <c:pt idx="162">
                  <c:v>1208.066276441765</c:v>
                </c:pt>
                <c:pt idx="163">
                  <c:v>1204.203205515865</c:v>
                </c:pt>
                <c:pt idx="164">
                  <c:v>1108.771964735721</c:v>
                </c:pt>
                <c:pt idx="165">
                  <c:v>1101.273332758949</c:v>
                </c:pt>
                <c:pt idx="166">
                  <c:v>1076.587721733187</c:v>
                </c:pt>
                <c:pt idx="167">
                  <c:v>1051.416356973775</c:v>
                </c:pt>
                <c:pt idx="168">
                  <c:v>1033.9155280363609</c:v>
                </c:pt>
                <c:pt idx="169">
                  <c:v>1007.2342371044321</c:v>
                </c:pt>
                <c:pt idx="170">
                  <c:v>962.46806345013397</c:v>
                </c:pt>
                <c:pt idx="171">
                  <c:v>769.20171518771804</c:v>
                </c:pt>
                <c:pt idx="172">
                  <c:v>753.37741687766868</c:v>
                </c:pt>
                <c:pt idx="173">
                  <c:v>638.87415212812618</c:v>
                </c:pt>
                <c:pt idx="174">
                  <c:v>557.06661566174046</c:v>
                </c:pt>
                <c:pt idx="175">
                  <c:v>551.2667909791287</c:v>
                </c:pt>
                <c:pt idx="176">
                  <c:v>415.34203333447442</c:v>
                </c:pt>
              </c:numCache>
            </c:numRef>
          </c:val>
        </c:ser>
        <c:ser>
          <c:idx val="1"/>
          <c:order val="1"/>
          <c:tx>
            <c:strRef>
              <c:f>'[WB GDP per capita.xlsx]GDP per cap annex'!$AB$2</c:f>
              <c:strCache>
                <c:ptCount val="1"/>
                <c:pt idx="0">
                  <c:v>Annex I</c:v>
                </c:pt>
              </c:strCache>
            </c:strRef>
          </c:tx>
          <c:invertIfNegative val="0"/>
          <c:val>
            <c:numRef>
              <c:f>'[WB GDP per capita.xlsx]GDP per cap annex'!$AB$3:$AB$179</c:f>
              <c:numCache>
                <c:formatCode>General</c:formatCode>
                <c:ptCount val="177"/>
                <c:pt idx="1">
                  <c:v>89510.34122211911</c:v>
                </c:pt>
                <c:pt idx="3">
                  <c:v>66140.699299094966</c:v>
                </c:pt>
                <c:pt idx="5">
                  <c:v>53191.227265913178</c:v>
                </c:pt>
                <c:pt idx="7">
                  <c:v>51748.561485175967</c:v>
                </c:pt>
                <c:pt idx="10">
                  <c:v>44122.02570468498</c:v>
                </c:pt>
                <c:pt idx="11">
                  <c:v>43833.863601206423</c:v>
                </c:pt>
                <c:pt idx="12">
                  <c:v>43818.301175228502</c:v>
                </c:pt>
                <c:pt idx="13">
                  <c:v>43338.955008679222</c:v>
                </c:pt>
                <c:pt idx="14">
                  <c:v>42865.822254655599</c:v>
                </c:pt>
                <c:pt idx="15">
                  <c:v>42775.204852782408</c:v>
                </c:pt>
                <c:pt idx="16">
                  <c:v>42700.107667735952</c:v>
                </c:pt>
                <c:pt idx="18">
                  <c:v>41297.639718100603</c:v>
                </c:pt>
                <c:pt idx="19">
                  <c:v>40565.591725449427</c:v>
                </c:pt>
                <c:pt idx="20">
                  <c:v>39198.8262738474</c:v>
                </c:pt>
                <c:pt idx="21">
                  <c:v>39096.538927814123</c:v>
                </c:pt>
                <c:pt idx="22">
                  <c:v>36784.789208899812</c:v>
                </c:pt>
                <c:pt idx="23">
                  <c:v>35722.310977388399</c:v>
                </c:pt>
                <c:pt idx="24">
                  <c:v>35618.230892733372</c:v>
                </c:pt>
                <c:pt idx="25">
                  <c:v>34926.017357530938</c:v>
                </c:pt>
                <c:pt idx="26">
                  <c:v>32925.917119646001</c:v>
                </c:pt>
                <c:pt idx="27">
                  <c:v>32134.351938893251</c:v>
                </c:pt>
                <c:pt idx="31">
                  <c:v>30768.330583671301</c:v>
                </c:pt>
                <c:pt idx="34">
                  <c:v>28955.05327249115</c:v>
                </c:pt>
                <c:pt idx="36">
                  <c:v>28475.751795979471</c:v>
                </c:pt>
                <c:pt idx="37">
                  <c:v>27523.011239623149</c:v>
                </c:pt>
                <c:pt idx="42">
                  <c:v>26040.76485255166</c:v>
                </c:pt>
                <c:pt idx="43">
                  <c:v>25958.33019958928</c:v>
                </c:pt>
                <c:pt idx="44">
                  <c:v>25841.73219608223</c:v>
                </c:pt>
                <c:pt idx="45">
                  <c:v>24449.65922947778</c:v>
                </c:pt>
                <c:pt idx="46">
                  <c:v>24355.55861077939</c:v>
                </c:pt>
                <c:pt idx="47">
                  <c:v>23589.3094356605</c:v>
                </c:pt>
                <c:pt idx="48">
                  <c:v>22782.585540262931</c:v>
                </c:pt>
                <c:pt idx="49">
                  <c:v>22635.18088504584</c:v>
                </c:pt>
                <c:pt idx="50">
                  <c:v>21809.81896001325</c:v>
                </c:pt>
                <c:pt idx="52">
                  <c:v>20960.670992758809</c:v>
                </c:pt>
                <c:pt idx="55">
                  <c:v>18551.311340108641</c:v>
                </c:pt>
                <c:pt idx="57">
                  <c:v>18063.366454076218</c:v>
                </c:pt>
                <c:pt idx="62">
                  <c:v>16040.8183271134</c:v>
                </c:pt>
                <c:pt idx="65">
                  <c:v>15326.500892187431</c:v>
                </c:pt>
                <c:pt idx="98">
                  <c:v>7298.0979144631101</c:v>
                </c:pt>
              </c:numCache>
            </c:numRef>
          </c:val>
        </c:ser>
        <c:dLbls>
          <c:showLegendKey val="0"/>
          <c:showVal val="0"/>
          <c:showCatName val="0"/>
          <c:showSerName val="0"/>
          <c:showPercent val="0"/>
          <c:showBubbleSize val="0"/>
        </c:dLbls>
        <c:gapWidth val="0"/>
        <c:overlap val="100"/>
        <c:axId val="244221824"/>
        <c:axId val="244223360"/>
      </c:barChart>
      <c:catAx>
        <c:axId val="244221824"/>
        <c:scaling>
          <c:orientation val="minMax"/>
        </c:scaling>
        <c:delete val="0"/>
        <c:axPos val="b"/>
        <c:majorTickMark val="out"/>
        <c:minorTickMark val="none"/>
        <c:tickLblPos val="none"/>
        <c:crossAx val="244223360"/>
        <c:crosses val="autoZero"/>
        <c:auto val="1"/>
        <c:lblAlgn val="ctr"/>
        <c:lblOffset val="100"/>
        <c:noMultiLvlLbl val="0"/>
      </c:catAx>
      <c:valAx>
        <c:axId val="244223360"/>
        <c:scaling>
          <c:orientation val="minMax"/>
        </c:scaling>
        <c:delete val="0"/>
        <c:axPos val="l"/>
        <c:majorGridlines/>
        <c:title>
          <c:tx>
            <c:rich>
              <a:bodyPr rot="-5400000" vert="horz"/>
              <a:lstStyle/>
              <a:p>
                <a:pPr>
                  <a:defRPr/>
                </a:pPr>
                <a:r>
                  <a:rPr lang="fr-FR"/>
                  <a:t>current international $</a:t>
                </a:r>
              </a:p>
            </c:rich>
          </c:tx>
          <c:overlay val="0"/>
        </c:title>
        <c:numFmt formatCode="General" sourceLinked="1"/>
        <c:majorTickMark val="out"/>
        <c:minorTickMark val="none"/>
        <c:tickLblPos val="nextTo"/>
        <c:crossAx val="24422182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36901590433099"/>
          <c:y val="4.2141294838145202E-2"/>
          <c:w val="0.75167327176295295"/>
          <c:h val="0.89719889180519097"/>
        </c:manualLayout>
      </c:layout>
      <c:barChart>
        <c:barDir val="col"/>
        <c:grouping val="clustered"/>
        <c:varyColors val="0"/>
        <c:ser>
          <c:idx val="0"/>
          <c:order val="0"/>
          <c:tx>
            <c:strRef>
              <c:f>'[CO2 per cap.xlsx]CO2 per cap'!$W$2</c:f>
              <c:strCache>
                <c:ptCount val="1"/>
                <c:pt idx="0">
                  <c:v>Non Annex I</c:v>
                </c:pt>
              </c:strCache>
            </c:strRef>
          </c:tx>
          <c:invertIfNegative val="0"/>
          <c:val>
            <c:numRef>
              <c:f>'[CO2 per cap.xlsx]CO2 per cap'!$W$3:$W$200</c:f>
              <c:numCache>
                <c:formatCode>General</c:formatCode>
                <c:ptCount val="198"/>
                <c:pt idx="0">
                  <c:v>40.310083996632507</c:v>
                </c:pt>
                <c:pt idx="1">
                  <c:v>38.16113079260144</c:v>
                </c:pt>
                <c:pt idx="2">
                  <c:v>31.319743078908139</c:v>
                </c:pt>
                <c:pt idx="3">
                  <c:v>22.867885432971601</c:v>
                </c:pt>
                <c:pt idx="4">
                  <c:v>22.847239583845969</c:v>
                </c:pt>
                <c:pt idx="6">
                  <c:v>20.408943230406511</c:v>
                </c:pt>
                <c:pt idx="7">
                  <c:v>19.853797714800049</c:v>
                </c:pt>
                <c:pt idx="8">
                  <c:v>19.33835285770104</c:v>
                </c:pt>
                <c:pt idx="10">
                  <c:v>17.03991344021933</c:v>
                </c:pt>
                <c:pt idx="12">
                  <c:v>15.68059377900093</c:v>
                </c:pt>
                <c:pt idx="13">
                  <c:v>15.23926775230904</c:v>
                </c:pt>
                <c:pt idx="15">
                  <c:v>14.3481978983885</c:v>
                </c:pt>
                <c:pt idx="20">
                  <c:v>11.486805400308111</c:v>
                </c:pt>
                <c:pt idx="21">
                  <c:v>11.148247078464101</c:v>
                </c:pt>
                <c:pt idx="24">
                  <c:v>10.63587886649012</c:v>
                </c:pt>
                <c:pt idx="25">
                  <c:v>10.56927210552027</c:v>
                </c:pt>
                <c:pt idx="26">
                  <c:v>10.522453116276401</c:v>
                </c:pt>
                <c:pt idx="28">
                  <c:v>9.7730218395089778</c:v>
                </c:pt>
                <c:pt idx="29">
                  <c:v>9.2680303268796926</c:v>
                </c:pt>
                <c:pt idx="32">
                  <c:v>9.0405314610283956</c:v>
                </c:pt>
                <c:pt idx="36">
                  <c:v>8.0931020827477571</c:v>
                </c:pt>
                <c:pt idx="39">
                  <c:v>7.84297649548847</c:v>
                </c:pt>
                <c:pt idx="40">
                  <c:v>7.6765269475777993</c:v>
                </c:pt>
                <c:pt idx="42">
                  <c:v>7.6674673267827398</c:v>
                </c:pt>
                <c:pt idx="44">
                  <c:v>7.3200356243473941</c:v>
                </c:pt>
                <c:pt idx="47">
                  <c:v>6.94643711594175</c:v>
                </c:pt>
                <c:pt idx="48">
                  <c:v>6.8356107384784366</c:v>
                </c:pt>
                <c:pt idx="49">
                  <c:v>6.7212206266599797</c:v>
                </c:pt>
                <c:pt idx="53">
                  <c:v>6.6367207054565061</c:v>
                </c:pt>
                <c:pt idx="55">
                  <c:v>6.3035838208001786</c:v>
                </c:pt>
                <c:pt idx="57">
                  <c:v>6.1948575747268571</c:v>
                </c:pt>
                <c:pt idx="60">
                  <c:v>5.8851581396948403</c:v>
                </c:pt>
                <c:pt idx="64">
                  <c:v>5.3619523816316921</c:v>
                </c:pt>
                <c:pt idx="65">
                  <c:v>5.2059497305843303</c:v>
                </c:pt>
                <c:pt idx="66">
                  <c:v>5.1719970735642784</c:v>
                </c:pt>
                <c:pt idx="67">
                  <c:v>5.1662298909484354</c:v>
                </c:pt>
                <c:pt idx="69">
                  <c:v>5.0507488570112056</c:v>
                </c:pt>
                <c:pt idx="72">
                  <c:v>4.7630654034229831</c:v>
                </c:pt>
                <c:pt idx="74">
                  <c:v>4.700012807837286</c:v>
                </c:pt>
                <c:pt idx="75">
                  <c:v>4.5404411764705879</c:v>
                </c:pt>
                <c:pt idx="76">
                  <c:v>4.470964989940116</c:v>
                </c:pt>
                <c:pt idx="77">
                  <c:v>4.4468555584717846</c:v>
                </c:pt>
                <c:pt idx="79">
                  <c:v>4.243208522164692</c:v>
                </c:pt>
                <c:pt idx="80">
                  <c:v>4.2131214593405772</c:v>
                </c:pt>
                <c:pt idx="81">
                  <c:v>4.1632955853940974</c:v>
                </c:pt>
                <c:pt idx="84">
                  <c:v>3.763572235183287</c:v>
                </c:pt>
                <c:pt idx="85">
                  <c:v>3.7034326818545602</c:v>
                </c:pt>
                <c:pt idx="86">
                  <c:v>3.6566778001848581</c:v>
                </c:pt>
                <c:pt idx="88">
                  <c:v>3.44380185246444</c:v>
                </c:pt>
                <c:pt idx="89">
                  <c:v>3.400544489126172</c:v>
                </c:pt>
                <c:pt idx="90">
                  <c:v>3.331511849341199</c:v>
                </c:pt>
                <c:pt idx="91">
                  <c:v>3.2988971242945841</c:v>
                </c:pt>
                <c:pt idx="92">
                  <c:v>3.2967638445899312</c:v>
                </c:pt>
                <c:pt idx="93">
                  <c:v>3.214898776195934</c:v>
                </c:pt>
                <c:pt idx="94">
                  <c:v>2.9233601572538048</c:v>
                </c:pt>
                <c:pt idx="95">
                  <c:v>2.87278303498868</c:v>
                </c:pt>
                <c:pt idx="96">
                  <c:v>2.6631924281521462</c:v>
                </c:pt>
                <c:pt idx="97">
                  <c:v>2.6601457397436601</c:v>
                </c:pt>
                <c:pt idx="98">
                  <c:v>2.6571370829125081</c:v>
                </c:pt>
                <c:pt idx="99">
                  <c:v>2.6227913151728832</c:v>
                </c:pt>
                <c:pt idx="100">
                  <c:v>2.6190521373916251</c:v>
                </c:pt>
                <c:pt idx="101">
                  <c:v>2.4872417054367251</c:v>
                </c:pt>
                <c:pt idx="102">
                  <c:v>2.4531020655790541</c:v>
                </c:pt>
                <c:pt idx="103">
                  <c:v>2.273826502139269</c:v>
                </c:pt>
                <c:pt idx="104">
                  <c:v>2.1755978506069442</c:v>
                </c:pt>
                <c:pt idx="105">
                  <c:v>2.1643960382941159</c:v>
                </c:pt>
                <c:pt idx="106">
                  <c:v>2.1502680439461161</c:v>
                </c:pt>
                <c:pt idx="107">
                  <c:v>2.0929084416904931</c:v>
                </c:pt>
                <c:pt idx="108">
                  <c:v>1.9705336505355009</c:v>
                </c:pt>
                <c:pt idx="109">
                  <c:v>1.9676577419203809</c:v>
                </c:pt>
                <c:pt idx="110">
                  <c:v>1.958419165331502</c:v>
                </c:pt>
                <c:pt idx="111">
                  <c:v>1.9273791398098861</c:v>
                </c:pt>
                <c:pt idx="112">
                  <c:v>1.912062278166051</c:v>
                </c:pt>
                <c:pt idx="113">
                  <c:v>1.9064875574353279</c:v>
                </c:pt>
                <c:pt idx="114">
                  <c:v>1.803206698818125</c:v>
                </c:pt>
                <c:pt idx="115">
                  <c:v>1.7281184367181439</c:v>
                </c:pt>
                <c:pt idx="116">
                  <c:v>1.6662092470757119</c:v>
                </c:pt>
                <c:pt idx="117">
                  <c:v>1.6640036747660709</c:v>
                </c:pt>
                <c:pt idx="118">
                  <c:v>1.6541560265823261</c:v>
                </c:pt>
                <c:pt idx="119">
                  <c:v>1.629451504988783</c:v>
                </c:pt>
                <c:pt idx="120">
                  <c:v>1.5993834530673441</c:v>
                </c:pt>
                <c:pt idx="121">
                  <c:v>1.5559656279227649</c:v>
                </c:pt>
                <c:pt idx="122">
                  <c:v>1.52180882167174</c:v>
                </c:pt>
                <c:pt idx="123">
                  <c:v>1.51473611404638</c:v>
                </c:pt>
                <c:pt idx="124">
                  <c:v>1.4999366690720799</c:v>
                </c:pt>
                <c:pt idx="125">
                  <c:v>1.4573979321394031</c:v>
                </c:pt>
                <c:pt idx="126">
                  <c:v>1.4242357674854289</c:v>
                </c:pt>
                <c:pt idx="127">
                  <c:v>1.4016425619834709</c:v>
                </c:pt>
                <c:pt idx="128">
                  <c:v>1.3665321861987401</c:v>
                </c:pt>
                <c:pt idx="129">
                  <c:v>1.3630114161949101</c:v>
                </c:pt>
                <c:pt idx="130">
                  <c:v>1.359638594184454</c:v>
                </c:pt>
                <c:pt idx="131">
                  <c:v>1.1745654288808529</c:v>
                </c:pt>
                <c:pt idx="132">
                  <c:v>1.063839388107181</c:v>
                </c:pt>
                <c:pt idx="133">
                  <c:v>1.00488453642898</c:v>
                </c:pt>
                <c:pt idx="134">
                  <c:v>0.99089935243536398</c:v>
                </c:pt>
                <c:pt idx="135">
                  <c:v>0.95996333173541903</c:v>
                </c:pt>
                <c:pt idx="136">
                  <c:v>0.93211849777786604</c:v>
                </c:pt>
                <c:pt idx="137">
                  <c:v>0.87314829037980501</c:v>
                </c:pt>
                <c:pt idx="138">
                  <c:v>0.867327137166786</c:v>
                </c:pt>
                <c:pt idx="139">
                  <c:v>0.85747367468243696</c:v>
                </c:pt>
                <c:pt idx="140">
                  <c:v>0.78565746105752798</c:v>
                </c:pt>
                <c:pt idx="141">
                  <c:v>0.78098879652035802</c:v>
                </c:pt>
                <c:pt idx="142">
                  <c:v>0.77525259427555204</c:v>
                </c:pt>
                <c:pt idx="143">
                  <c:v>0.72948783944249496</c:v>
                </c:pt>
                <c:pt idx="144">
                  <c:v>0.72095074259511704</c:v>
                </c:pt>
                <c:pt idx="145">
                  <c:v>0.66492407303829204</c:v>
                </c:pt>
                <c:pt idx="146">
                  <c:v>0.64631382818007899</c:v>
                </c:pt>
                <c:pt idx="147">
                  <c:v>0.63778480300379603</c:v>
                </c:pt>
                <c:pt idx="148">
                  <c:v>0.62061183353266303</c:v>
                </c:pt>
                <c:pt idx="149">
                  <c:v>0.61539834406623695</c:v>
                </c:pt>
                <c:pt idx="150">
                  <c:v>0.61363543173141399</c:v>
                </c:pt>
                <c:pt idx="151">
                  <c:v>0.555518773705591</c:v>
                </c:pt>
                <c:pt idx="152">
                  <c:v>0.54562725727717898</c:v>
                </c:pt>
                <c:pt idx="153">
                  <c:v>0.54507085560134705</c:v>
                </c:pt>
                <c:pt idx="154">
                  <c:v>0.49659118320432999</c:v>
                </c:pt>
                <c:pt idx="155">
                  <c:v>0.49409097665749302</c:v>
                </c:pt>
                <c:pt idx="156">
                  <c:v>0.49318860864627101</c:v>
                </c:pt>
                <c:pt idx="157">
                  <c:v>0.45710892855971302</c:v>
                </c:pt>
                <c:pt idx="158">
                  <c:v>0.38310599167627502</c:v>
                </c:pt>
                <c:pt idx="159">
                  <c:v>0.375001671621221</c:v>
                </c:pt>
                <c:pt idx="160">
                  <c:v>0.37156390079170998</c:v>
                </c:pt>
                <c:pt idx="161">
                  <c:v>0.37088796595262902</c:v>
                </c:pt>
                <c:pt idx="162">
                  <c:v>0.35079861695473202</c:v>
                </c:pt>
                <c:pt idx="163">
                  <c:v>0.31085860656775899</c:v>
                </c:pt>
                <c:pt idx="164">
                  <c:v>0.30589592818266398</c:v>
                </c:pt>
                <c:pt idx="165">
                  <c:v>0.30378166335909701</c:v>
                </c:pt>
                <c:pt idx="166">
                  <c:v>0.29298328427182402</c:v>
                </c:pt>
                <c:pt idx="167">
                  <c:v>0.29101288408555498</c:v>
                </c:pt>
                <c:pt idx="168">
                  <c:v>0.29002523152135801</c:v>
                </c:pt>
                <c:pt idx="169">
                  <c:v>0.281465989146992</c:v>
                </c:pt>
                <c:pt idx="170">
                  <c:v>0.24423352057258399</c:v>
                </c:pt>
                <c:pt idx="171">
                  <c:v>0.214171415868397</c:v>
                </c:pt>
                <c:pt idx="172">
                  <c:v>0.20399630497700899</c:v>
                </c:pt>
                <c:pt idx="173">
                  <c:v>0.20197271847579201</c:v>
                </c:pt>
                <c:pt idx="174">
                  <c:v>0.18366927101755801</c:v>
                </c:pt>
                <c:pt idx="175">
                  <c:v>0.17321274359931901</c:v>
                </c:pt>
                <c:pt idx="176">
                  <c:v>0.16048111950788699</c:v>
                </c:pt>
                <c:pt idx="177">
                  <c:v>0.15222997718870299</c:v>
                </c:pt>
                <c:pt idx="178">
                  <c:v>0.15022777923440001</c:v>
                </c:pt>
                <c:pt idx="179">
                  <c:v>0.139872076363212</c:v>
                </c:pt>
                <c:pt idx="180">
                  <c:v>0.120258277279448</c:v>
                </c:pt>
                <c:pt idx="181">
                  <c:v>0.11985376851363801</c:v>
                </c:pt>
                <c:pt idx="182">
                  <c:v>0.113624057595265</c:v>
                </c:pt>
                <c:pt idx="183">
                  <c:v>0.111346111256607</c:v>
                </c:pt>
                <c:pt idx="184">
                  <c:v>0.108309024468279</c:v>
                </c:pt>
                <c:pt idx="185">
                  <c:v>9.5504160149286102E-2</c:v>
                </c:pt>
                <c:pt idx="186">
                  <c:v>8.9420968832251493E-2</c:v>
                </c:pt>
                <c:pt idx="187">
                  <c:v>8.8827077015072503E-2</c:v>
                </c:pt>
                <c:pt idx="188">
                  <c:v>8.2554366700160503E-2</c:v>
                </c:pt>
                <c:pt idx="189">
                  <c:v>7.4564969828847597E-2</c:v>
                </c:pt>
                <c:pt idx="190">
                  <c:v>6.3170513854410901E-2</c:v>
                </c:pt>
                <c:pt idx="191">
                  <c:v>6.0696274713954598E-2</c:v>
                </c:pt>
                <c:pt idx="192">
                  <c:v>5.4818556000092999E-2</c:v>
                </c:pt>
                <c:pt idx="193">
                  <c:v>4.8880627907879101E-2</c:v>
                </c:pt>
                <c:pt idx="194">
                  <c:v>4.4572553863120298E-2</c:v>
                </c:pt>
                <c:pt idx="195">
                  <c:v>4.00464781314488E-2</c:v>
                </c:pt>
                <c:pt idx="196">
                  <c:v>3.3362530114257397E-2</c:v>
                </c:pt>
                <c:pt idx="197">
                  <c:v>9.1267899534127998E-3</c:v>
                </c:pt>
              </c:numCache>
            </c:numRef>
          </c:val>
        </c:ser>
        <c:ser>
          <c:idx val="1"/>
          <c:order val="1"/>
          <c:tx>
            <c:strRef>
              <c:f>'[CO2 per cap.xlsx]CO2 per cap'!$X$2</c:f>
              <c:strCache>
                <c:ptCount val="1"/>
                <c:pt idx="0">
                  <c:v>Annex I</c:v>
                </c:pt>
              </c:strCache>
            </c:strRef>
          </c:tx>
          <c:invertIfNegative val="0"/>
          <c:val>
            <c:numRef>
              <c:f>'[CO2 per cap.xlsx]CO2 per cap'!$X$3:$X$200</c:f>
              <c:numCache>
                <c:formatCode>General</c:formatCode>
                <c:ptCount val="198"/>
                <c:pt idx="5">
                  <c:v>21.360266139070092</c:v>
                </c:pt>
                <c:pt idx="9">
                  <c:v>17.564163969608469</c:v>
                </c:pt>
                <c:pt idx="11">
                  <c:v>16.93373124302142</c:v>
                </c:pt>
                <c:pt idx="14">
                  <c:v>14.67823408804175</c:v>
                </c:pt>
                <c:pt idx="16">
                  <c:v>13.71743984345723</c:v>
                </c:pt>
                <c:pt idx="17">
                  <c:v>12.225496618418561</c:v>
                </c:pt>
                <c:pt idx="18">
                  <c:v>11.696444568617039</c:v>
                </c:pt>
                <c:pt idx="19">
                  <c:v>11.530840228275149</c:v>
                </c:pt>
                <c:pt idx="22">
                  <c:v>10.95836493555314</c:v>
                </c:pt>
                <c:pt idx="23">
                  <c:v>10.66903290972952</c:v>
                </c:pt>
                <c:pt idx="27">
                  <c:v>9.9991473611423967</c:v>
                </c:pt>
                <c:pt idx="30">
                  <c:v>9.1856508653295652</c:v>
                </c:pt>
                <c:pt idx="31">
                  <c:v>9.1148415084792251</c:v>
                </c:pt>
                <c:pt idx="33">
                  <c:v>8.771551844180733</c:v>
                </c:pt>
                <c:pt idx="34">
                  <c:v>8.3464049766361992</c:v>
                </c:pt>
                <c:pt idx="35">
                  <c:v>8.3086320405498864</c:v>
                </c:pt>
                <c:pt idx="37">
                  <c:v>7.9736480292489524</c:v>
                </c:pt>
                <c:pt idx="38">
                  <c:v>7.8648865010042996</c:v>
                </c:pt>
                <c:pt idx="41">
                  <c:v>7.6689985109001046</c:v>
                </c:pt>
                <c:pt idx="43">
                  <c:v>7.4822743330389816</c:v>
                </c:pt>
                <c:pt idx="45">
                  <c:v>7.223514812949305</c:v>
                </c:pt>
                <c:pt idx="46">
                  <c:v>6.9839075460842492</c:v>
                </c:pt>
                <c:pt idx="50">
                  <c:v>6.7176674552854472</c:v>
                </c:pt>
                <c:pt idx="51">
                  <c:v>6.6947534122685086</c:v>
                </c:pt>
                <c:pt idx="52">
                  <c:v>6.6448671374101549</c:v>
                </c:pt>
                <c:pt idx="54">
                  <c:v>6.5565496311907276</c:v>
                </c:pt>
                <c:pt idx="56">
                  <c:v>6.2457226398525503</c:v>
                </c:pt>
                <c:pt idx="58">
                  <c:v>6.1685285859370316</c:v>
                </c:pt>
                <c:pt idx="59">
                  <c:v>6.0412588621962877</c:v>
                </c:pt>
                <c:pt idx="61">
                  <c:v>5.7898843497453258</c:v>
                </c:pt>
                <c:pt idx="62">
                  <c:v>5.599744234615744</c:v>
                </c:pt>
                <c:pt idx="63">
                  <c:v>5.555374121374137</c:v>
                </c:pt>
                <c:pt idx="68">
                  <c:v>5.0582481660292178</c:v>
                </c:pt>
                <c:pt idx="70">
                  <c:v>4.9529678875498746</c:v>
                </c:pt>
                <c:pt idx="71">
                  <c:v>4.9522933671297906</c:v>
                </c:pt>
                <c:pt idx="73">
                  <c:v>4.7271413373172084</c:v>
                </c:pt>
                <c:pt idx="78">
                  <c:v>4.3782148348132326</c:v>
                </c:pt>
                <c:pt idx="82">
                  <c:v>4.1310307672512154</c:v>
                </c:pt>
                <c:pt idx="83">
                  <c:v>3.8892507390401181</c:v>
                </c:pt>
                <c:pt idx="87">
                  <c:v>3.6310652164067201</c:v>
                </c:pt>
              </c:numCache>
            </c:numRef>
          </c:val>
        </c:ser>
        <c:dLbls>
          <c:showLegendKey val="0"/>
          <c:showVal val="0"/>
          <c:showCatName val="0"/>
          <c:showSerName val="0"/>
          <c:showPercent val="0"/>
          <c:showBubbleSize val="0"/>
        </c:dLbls>
        <c:gapWidth val="0"/>
        <c:overlap val="100"/>
        <c:axId val="252760064"/>
        <c:axId val="252761600"/>
      </c:barChart>
      <c:catAx>
        <c:axId val="252760064"/>
        <c:scaling>
          <c:orientation val="minMax"/>
        </c:scaling>
        <c:delete val="0"/>
        <c:axPos val="b"/>
        <c:majorTickMark val="out"/>
        <c:minorTickMark val="none"/>
        <c:tickLblPos val="none"/>
        <c:crossAx val="252761600"/>
        <c:crosses val="autoZero"/>
        <c:auto val="1"/>
        <c:lblAlgn val="ctr"/>
        <c:lblOffset val="100"/>
        <c:noMultiLvlLbl val="0"/>
      </c:catAx>
      <c:valAx>
        <c:axId val="252761600"/>
        <c:scaling>
          <c:orientation val="minMax"/>
        </c:scaling>
        <c:delete val="0"/>
        <c:axPos val="l"/>
        <c:majorGridlines/>
        <c:title>
          <c:tx>
            <c:rich>
              <a:bodyPr rot="-5400000" vert="horz"/>
              <a:lstStyle/>
              <a:p>
                <a:pPr>
                  <a:defRPr/>
                </a:pPr>
                <a:r>
                  <a:rPr lang="fr-FR"/>
                  <a:t>metric tons per capita</a:t>
                </a:r>
              </a:p>
            </c:rich>
          </c:tx>
          <c:overlay val="0"/>
        </c:title>
        <c:numFmt formatCode="General" sourceLinked="1"/>
        <c:majorTickMark val="out"/>
        <c:minorTickMark val="none"/>
        <c:tickLblPos val="nextTo"/>
        <c:crossAx val="25276006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'[GDP&amp;CO2 v2.xlsx]Graph CO2'!$B$5</c:f>
              <c:strCache>
                <c:ptCount val="1"/>
                <c:pt idx="0">
                  <c:v>Annex I</c:v>
                </c:pt>
              </c:strCache>
            </c:strRef>
          </c:tx>
          <c:spPr>
            <a:ln>
              <a:solidFill>
                <a:schemeClr val="accent3"/>
              </a:solidFill>
            </a:ln>
          </c:spPr>
          <c:marker>
            <c:symbol val="none"/>
          </c:marker>
          <c:cat>
            <c:strRef>
              <c:f>'[GDP&amp;CO2 v2.xlsx]Graph CO2'!$E$1:$W$1</c:f>
              <c:strCach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strCache>
            </c:strRef>
          </c:cat>
          <c:val>
            <c:numRef>
              <c:f>'[GDP&amp;CO2 v2.xlsx]Graph CO2'!$E$5:$W$5</c:f>
              <c:numCache>
                <c:formatCode>General</c:formatCode>
                <c:ptCount val="19"/>
                <c:pt idx="0">
                  <c:v>11.79984429115324</c:v>
                </c:pt>
                <c:pt idx="1">
                  <c:v>11.53049350699979</c:v>
                </c:pt>
                <c:pt idx="2">
                  <c:v>11.250379750878221</c:v>
                </c:pt>
                <c:pt idx="3">
                  <c:v>11.26806890325248</c:v>
                </c:pt>
                <c:pt idx="4">
                  <c:v>11.427236917411991</c:v>
                </c:pt>
                <c:pt idx="5">
                  <c:v>11.313374838405</c:v>
                </c:pt>
                <c:pt idx="6">
                  <c:v>11.26930289411729</c:v>
                </c:pt>
                <c:pt idx="7">
                  <c:v>11.216430420204979</c:v>
                </c:pt>
                <c:pt idx="8">
                  <c:v>11.386341877210331</c:v>
                </c:pt>
                <c:pt idx="9">
                  <c:v>11.282399400077461</c:v>
                </c:pt>
                <c:pt idx="10">
                  <c:v>11.268959570360121</c:v>
                </c:pt>
                <c:pt idx="11">
                  <c:v>11.451208976106811</c:v>
                </c:pt>
                <c:pt idx="12">
                  <c:v>11.51853526168088</c:v>
                </c:pt>
                <c:pt idx="13">
                  <c:v>11.498703680070729</c:v>
                </c:pt>
                <c:pt idx="14">
                  <c:v>11.440581384346631</c:v>
                </c:pt>
                <c:pt idx="15">
                  <c:v>11.467855121824829</c:v>
                </c:pt>
                <c:pt idx="16">
                  <c:v>11.213827263572149</c:v>
                </c:pt>
                <c:pt idx="17">
                  <c:v>10.3895684037411</c:v>
                </c:pt>
                <c:pt idx="18">
                  <c:v>10.70563055039363</c:v>
                </c:pt>
              </c:numCache>
            </c:numRef>
          </c:val>
          <c:smooth val="0"/>
        </c:ser>
        <c:ser>
          <c:idx val="1"/>
          <c:order val="1"/>
          <c:tx>
            <c:strRef>
              <c:f>'[GDP&amp;CO2 v2.xlsx]Graph CO2'!$B$6</c:f>
              <c:strCache>
                <c:ptCount val="1"/>
                <c:pt idx="0">
                  <c:v>Major oil and gas exporter non Annex I</c:v>
                </c:pt>
              </c:strCache>
            </c:strRef>
          </c:tx>
          <c:marker>
            <c:symbol val="none"/>
          </c:marker>
          <c:cat>
            <c:strRef>
              <c:f>'[GDP&amp;CO2 v2.xlsx]Graph CO2'!$E$1:$W$1</c:f>
              <c:strCach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strCache>
            </c:strRef>
          </c:cat>
          <c:val>
            <c:numRef>
              <c:f>'[GDP&amp;CO2 v2.xlsx]Graph CO2'!$E$6:$W$6</c:f>
              <c:numCache>
                <c:formatCode>General</c:formatCode>
                <c:ptCount val="19"/>
                <c:pt idx="0">
                  <c:v>7.8218891142483216</c:v>
                </c:pt>
                <c:pt idx="1">
                  <c:v>8.0230850090396029</c:v>
                </c:pt>
                <c:pt idx="2">
                  <c:v>8.111948970335872</c:v>
                </c:pt>
                <c:pt idx="3">
                  <c:v>7.3653561524137254</c:v>
                </c:pt>
                <c:pt idx="4">
                  <c:v>6.8855331617637727</c:v>
                </c:pt>
                <c:pt idx="5">
                  <c:v>6.5033123104165176</c:v>
                </c:pt>
                <c:pt idx="6">
                  <c:v>7.039215316392923</c:v>
                </c:pt>
                <c:pt idx="7">
                  <c:v>7.5053508729198919</c:v>
                </c:pt>
                <c:pt idx="8">
                  <c:v>7.9471062713583303</c:v>
                </c:pt>
                <c:pt idx="9">
                  <c:v>8.1833892075561643</c:v>
                </c:pt>
                <c:pt idx="10">
                  <c:v>8.2874711516866739</c:v>
                </c:pt>
                <c:pt idx="11">
                  <c:v>8.5248889713824152</c:v>
                </c:pt>
                <c:pt idx="12">
                  <c:v>9.0908542282437939</c:v>
                </c:pt>
                <c:pt idx="13">
                  <c:v>9.2579774525584853</c:v>
                </c:pt>
                <c:pt idx="14">
                  <c:v>9.5681068846355135</c:v>
                </c:pt>
                <c:pt idx="15">
                  <c:v>9.4601823710247768</c:v>
                </c:pt>
                <c:pt idx="16">
                  <c:v>9.9537773964463288</c:v>
                </c:pt>
                <c:pt idx="17">
                  <c:v>9.8194662231561445</c:v>
                </c:pt>
                <c:pt idx="18">
                  <c:v>10.25730166149674</c:v>
                </c:pt>
              </c:numCache>
            </c:numRef>
          </c:val>
          <c:smooth val="0"/>
        </c:ser>
        <c:ser>
          <c:idx val="2"/>
          <c:order val="2"/>
          <c:tx>
            <c:strRef>
              <c:f>'[GDP&amp;CO2 v2.xlsx]Graph CO2'!$B$7</c:f>
              <c:strCache>
                <c:ptCount val="1"/>
                <c:pt idx="0">
                  <c:v>High income and non Annex I</c:v>
                </c:pt>
              </c:strCache>
            </c:strRef>
          </c:tx>
          <c:spPr>
            <a:ln>
              <a:solidFill>
                <a:schemeClr val="accent1"/>
              </a:solidFill>
            </a:ln>
          </c:spPr>
          <c:marker>
            <c:symbol val="none"/>
          </c:marker>
          <c:cat>
            <c:strRef>
              <c:f>'[GDP&amp;CO2 v2.xlsx]Graph CO2'!$E$1:$W$1</c:f>
              <c:strCach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strCache>
            </c:strRef>
          </c:cat>
          <c:val>
            <c:numRef>
              <c:f>'[GDP&amp;CO2 v2.xlsx]Graph CO2'!$E$7:$W$7</c:f>
              <c:numCache>
                <c:formatCode>General</c:formatCode>
                <c:ptCount val="19"/>
                <c:pt idx="0">
                  <c:v>4.7209202708963334</c:v>
                </c:pt>
                <c:pt idx="1">
                  <c:v>4.9225991153886373</c:v>
                </c:pt>
                <c:pt idx="2">
                  <c:v>5.0741954756390966</c:v>
                </c:pt>
                <c:pt idx="3">
                  <c:v>5.0972451690069036</c:v>
                </c:pt>
                <c:pt idx="4">
                  <c:v>5.2748124205168514</c:v>
                </c:pt>
                <c:pt idx="5">
                  <c:v>5.5296349436930319</c:v>
                </c:pt>
                <c:pt idx="6">
                  <c:v>5.1824320927984626</c:v>
                </c:pt>
                <c:pt idx="7">
                  <c:v>5.2661812310123253</c:v>
                </c:pt>
                <c:pt idx="8">
                  <c:v>5.4631194989371483</c:v>
                </c:pt>
                <c:pt idx="9">
                  <c:v>5.4805318907037268</c:v>
                </c:pt>
                <c:pt idx="10">
                  <c:v>5.4574770355332554</c:v>
                </c:pt>
                <c:pt idx="11">
                  <c:v>5.539069945481824</c:v>
                </c:pt>
                <c:pt idx="12">
                  <c:v>5.6078841160264252</c:v>
                </c:pt>
                <c:pt idx="13">
                  <c:v>5.6236192367343412</c:v>
                </c:pt>
                <c:pt idx="14">
                  <c:v>5.6483899084136446</c:v>
                </c:pt>
                <c:pt idx="15">
                  <c:v>5.9491926328960902</c:v>
                </c:pt>
                <c:pt idx="16">
                  <c:v>6.0513681964497099</c:v>
                </c:pt>
                <c:pt idx="17">
                  <c:v>5.8554456513882114</c:v>
                </c:pt>
                <c:pt idx="18">
                  <c:v>6.064809497367893</c:v>
                </c:pt>
              </c:numCache>
            </c:numRef>
          </c:val>
          <c:smooth val="0"/>
        </c:ser>
        <c:ser>
          <c:idx val="3"/>
          <c:order val="3"/>
          <c:tx>
            <c:strRef>
              <c:f>'[GDP&amp;CO2 v2.xlsx]Graph CO2'!$B$8</c:f>
              <c:strCache>
                <c:ptCount val="1"/>
                <c:pt idx="0">
                  <c:v>Emerging and non Annex I</c:v>
                </c:pt>
              </c:strCache>
            </c:strRef>
          </c:tx>
          <c:marker>
            <c:symbol val="none"/>
          </c:marker>
          <c:cat>
            <c:strRef>
              <c:f>'[GDP&amp;CO2 v2.xlsx]Graph CO2'!$E$1:$W$1</c:f>
              <c:strCach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strCache>
            </c:strRef>
          </c:cat>
          <c:val>
            <c:numRef>
              <c:f>'[GDP&amp;CO2 v2.xlsx]Graph CO2'!$E$8:$W$8</c:f>
              <c:numCache>
                <c:formatCode>General</c:formatCode>
                <c:ptCount val="19"/>
                <c:pt idx="0">
                  <c:v>1.718618438583349</c:v>
                </c:pt>
                <c:pt idx="1">
                  <c:v>1.796743566244797</c:v>
                </c:pt>
                <c:pt idx="2">
                  <c:v>1.8662806231169919</c:v>
                </c:pt>
                <c:pt idx="3">
                  <c:v>1.9744200010967921</c:v>
                </c:pt>
                <c:pt idx="4">
                  <c:v>2.054779271165212</c:v>
                </c:pt>
                <c:pt idx="5">
                  <c:v>2.0650324325272948</c:v>
                </c:pt>
                <c:pt idx="6">
                  <c:v>1.9872397644252899</c:v>
                </c:pt>
                <c:pt idx="7">
                  <c:v>1.9963398371397809</c:v>
                </c:pt>
                <c:pt idx="8">
                  <c:v>2.0326202438766972</c:v>
                </c:pt>
                <c:pt idx="9">
                  <c:v>2.050702410840791</c:v>
                </c:pt>
                <c:pt idx="10">
                  <c:v>2.1064121030952818</c:v>
                </c:pt>
                <c:pt idx="11">
                  <c:v>2.3827306337558238</c:v>
                </c:pt>
                <c:pt idx="12">
                  <c:v>2.650986023140065</c:v>
                </c:pt>
                <c:pt idx="13">
                  <c:v>2.8082295592313939</c:v>
                </c:pt>
                <c:pt idx="14">
                  <c:v>3.0288747623340582</c:v>
                </c:pt>
                <c:pt idx="15">
                  <c:v>3.1778635430334741</c:v>
                </c:pt>
                <c:pt idx="16">
                  <c:v>3.3061122818409538</c:v>
                </c:pt>
                <c:pt idx="17">
                  <c:v>3.5402050085085501</c:v>
                </c:pt>
                <c:pt idx="18">
                  <c:v>3.6988490322510672</c:v>
                </c:pt>
              </c:numCache>
            </c:numRef>
          </c:val>
          <c:smooth val="0"/>
        </c:ser>
        <c:ser>
          <c:idx val="4"/>
          <c:order val="4"/>
          <c:tx>
            <c:strRef>
              <c:f>'[GDP&amp;CO2 v2.xlsx]Graph CO2'!$B$9</c:f>
              <c:strCache>
                <c:ptCount val="1"/>
                <c:pt idx="0">
                  <c:v>Rest of non Annex I</c:v>
                </c:pt>
              </c:strCache>
            </c:strRef>
          </c:tx>
          <c:spPr>
            <a:ln>
              <a:solidFill>
                <a:schemeClr val="accent6"/>
              </a:solidFill>
            </a:ln>
          </c:spPr>
          <c:marker>
            <c:symbol val="none"/>
          </c:marker>
          <c:cat>
            <c:strRef>
              <c:f>'[GDP&amp;CO2 v2.xlsx]Graph CO2'!$E$1:$W$1</c:f>
              <c:strCach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strCache>
            </c:strRef>
          </c:cat>
          <c:val>
            <c:numRef>
              <c:f>'[GDP&amp;CO2 v2.xlsx]Graph CO2'!$E$9:$W$9</c:f>
              <c:numCache>
                <c:formatCode>General</c:formatCode>
                <c:ptCount val="19"/>
                <c:pt idx="0">
                  <c:v>0.52664004188209501</c:v>
                </c:pt>
                <c:pt idx="1">
                  <c:v>0.50372184677139697</c:v>
                </c:pt>
                <c:pt idx="2">
                  <c:v>0.48381013700594999</c:v>
                </c:pt>
                <c:pt idx="3">
                  <c:v>0.462180442303537</c:v>
                </c:pt>
                <c:pt idx="4">
                  <c:v>0.487137813111994</c:v>
                </c:pt>
                <c:pt idx="5">
                  <c:v>0.49196140644040798</c:v>
                </c:pt>
                <c:pt idx="6">
                  <c:v>0.492262017684447</c:v>
                </c:pt>
                <c:pt idx="7">
                  <c:v>0.49049697478200499</c:v>
                </c:pt>
                <c:pt idx="8">
                  <c:v>0.526374065067858</c:v>
                </c:pt>
                <c:pt idx="9">
                  <c:v>0.53334734179203502</c:v>
                </c:pt>
                <c:pt idx="10">
                  <c:v>0.55168003491266204</c:v>
                </c:pt>
                <c:pt idx="11">
                  <c:v>0.550245785562965</c:v>
                </c:pt>
                <c:pt idx="12">
                  <c:v>0.57620900397380304</c:v>
                </c:pt>
                <c:pt idx="13">
                  <c:v>0.57752118004247799</c:v>
                </c:pt>
                <c:pt idx="14">
                  <c:v>0.58454572060277199</c:v>
                </c:pt>
                <c:pt idx="15">
                  <c:v>0.59830672711558897</c:v>
                </c:pt>
                <c:pt idx="16">
                  <c:v>0.59763698321454495</c:v>
                </c:pt>
                <c:pt idx="17">
                  <c:v>0.587244423371586</c:v>
                </c:pt>
                <c:pt idx="18">
                  <c:v>0.59494666500133597</c:v>
                </c:pt>
              </c:numCache>
            </c:numRef>
          </c:val>
          <c:smooth val="0"/>
        </c:ser>
        <c:dLbls>
          <c:showLegendKey val="0"/>
          <c:showVal val="0"/>
          <c:showCatName val="0"/>
          <c:showSerName val="0"/>
          <c:showPercent val="0"/>
          <c:showBubbleSize val="0"/>
        </c:dLbls>
        <c:marker val="1"/>
        <c:smooth val="0"/>
        <c:axId val="249401344"/>
        <c:axId val="249402880"/>
      </c:lineChart>
      <c:catAx>
        <c:axId val="249401344"/>
        <c:scaling>
          <c:orientation val="minMax"/>
        </c:scaling>
        <c:delete val="0"/>
        <c:axPos val="b"/>
        <c:majorTickMark val="out"/>
        <c:minorTickMark val="none"/>
        <c:tickLblPos val="nextTo"/>
        <c:crossAx val="249402880"/>
        <c:crosses val="autoZero"/>
        <c:auto val="1"/>
        <c:lblAlgn val="ctr"/>
        <c:lblOffset val="100"/>
        <c:noMultiLvlLbl val="0"/>
      </c:catAx>
      <c:valAx>
        <c:axId val="249402880"/>
        <c:scaling>
          <c:orientation val="minMax"/>
        </c:scaling>
        <c:delete val="0"/>
        <c:axPos val="l"/>
        <c:majorGridlines/>
        <c:title>
          <c:tx>
            <c:rich>
              <a:bodyPr rot="-5400000" vert="horz"/>
              <a:lstStyle/>
              <a:p>
                <a:pPr>
                  <a:defRPr/>
                </a:pPr>
                <a:r>
                  <a:rPr lang="fr-FR"/>
                  <a:t>tons C02/capita</a:t>
                </a:r>
              </a:p>
            </c:rich>
          </c:tx>
          <c:overlay val="0"/>
        </c:title>
        <c:numFmt formatCode="General" sourceLinked="1"/>
        <c:majorTickMark val="out"/>
        <c:minorTickMark val="none"/>
        <c:tickLblPos val="nextTo"/>
        <c:crossAx val="249401344"/>
        <c:crosses val="autoZero"/>
        <c:crossBetween val="between"/>
      </c:valAx>
    </c:plotArea>
    <c:legend>
      <c:legendPos val="r"/>
      <c:layout>
        <c:manualLayout>
          <c:xMode val="edge"/>
          <c:yMode val="edge"/>
          <c:x val="0.62571103526734895"/>
          <c:y val="1.0385624873813901E-3"/>
          <c:w val="0.34698521046643899"/>
          <c:h val="0.99792287502523702"/>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WEO!$B$35:$B$36</c:f>
              <c:strCache>
                <c:ptCount val="1"/>
                <c:pt idx="0">
                  <c:v>Projection for 2010: World Energy Outlook 2000 - Ref scenario</c:v>
                </c:pt>
              </c:strCache>
            </c:strRef>
          </c:tx>
          <c:spPr>
            <a:solidFill>
              <a:schemeClr val="accent1"/>
            </a:solidFill>
          </c:spPr>
          <c:invertIfNegative val="0"/>
          <c:cat>
            <c:strRef>
              <c:f>WEO!$A$37:$A$40</c:f>
              <c:strCache>
                <c:ptCount val="4"/>
                <c:pt idx="0">
                  <c:v>OECD North America</c:v>
                </c:pt>
                <c:pt idx="1">
                  <c:v>OECD Europe</c:v>
                </c:pt>
                <c:pt idx="2">
                  <c:v>China</c:v>
                </c:pt>
                <c:pt idx="3">
                  <c:v>India</c:v>
                </c:pt>
              </c:strCache>
            </c:strRef>
          </c:cat>
          <c:val>
            <c:numRef>
              <c:f>WEO!$B$37:$B$40</c:f>
              <c:numCache>
                <c:formatCode>General</c:formatCode>
                <c:ptCount val="4"/>
                <c:pt idx="0">
                  <c:v>6995</c:v>
                </c:pt>
                <c:pt idx="1">
                  <c:v>4612</c:v>
                </c:pt>
                <c:pt idx="2">
                  <c:v>4822</c:v>
                </c:pt>
                <c:pt idx="3">
                  <c:v>1533</c:v>
                </c:pt>
              </c:numCache>
            </c:numRef>
          </c:val>
        </c:ser>
        <c:ser>
          <c:idx val="1"/>
          <c:order val="1"/>
          <c:tx>
            <c:strRef>
              <c:f>WEO!$C$35:$C$36</c:f>
              <c:strCache>
                <c:ptCount val="1"/>
                <c:pt idx="0">
                  <c:v>Projection for 2010: World Energy Outlook 2002 - Ref scenario</c:v>
                </c:pt>
              </c:strCache>
            </c:strRef>
          </c:tx>
          <c:spPr>
            <a:solidFill>
              <a:srgbClr val="0070C0"/>
            </a:solidFill>
          </c:spPr>
          <c:invertIfNegative val="0"/>
          <c:cat>
            <c:strRef>
              <c:f>WEO!$A$37:$A$40</c:f>
              <c:strCache>
                <c:ptCount val="4"/>
                <c:pt idx="0">
                  <c:v>OECD North America</c:v>
                </c:pt>
                <c:pt idx="1">
                  <c:v>OECD Europe</c:v>
                </c:pt>
                <c:pt idx="2">
                  <c:v>China</c:v>
                </c:pt>
                <c:pt idx="3">
                  <c:v>India</c:v>
                </c:pt>
              </c:strCache>
            </c:strRef>
          </c:cat>
          <c:val>
            <c:numRef>
              <c:f>WEO!$C$37:$C$40</c:f>
              <c:numCache>
                <c:formatCode>General</c:formatCode>
                <c:ptCount val="4"/>
                <c:pt idx="0">
                  <c:v>7300</c:v>
                </c:pt>
                <c:pt idx="1">
                  <c:v>4249</c:v>
                </c:pt>
                <c:pt idx="2">
                  <c:v>4155</c:v>
                </c:pt>
                <c:pt idx="3">
                  <c:v>1279</c:v>
                </c:pt>
              </c:numCache>
            </c:numRef>
          </c:val>
        </c:ser>
        <c:ser>
          <c:idx val="2"/>
          <c:order val="2"/>
          <c:tx>
            <c:strRef>
              <c:f>WEO!$D$35:$D$36</c:f>
              <c:strCache>
                <c:ptCount val="1"/>
                <c:pt idx="0">
                  <c:v>Projection for 2020: World Energy Outlook 2000 - Ref scenario</c:v>
                </c:pt>
              </c:strCache>
            </c:strRef>
          </c:tx>
          <c:invertIfNegative val="0"/>
          <c:cat>
            <c:strRef>
              <c:f>WEO!$A$37:$A$40</c:f>
              <c:strCache>
                <c:ptCount val="4"/>
                <c:pt idx="0">
                  <c:v>OECD North America</c:v>
                </c:pt>
                <c:pt idx="1">
                  <c:v>OECD Europe</c:v>
                </c:pt>
                <c:pt idx="2">
                  <c:v>China</c:v>
                </c:pt>
                <c:pt idx="3">
                  <c:v>India</c:v>
                </c:pt>
              </c:strCache>
            </c:strRef>
          </c:cat>
          <c:val>
            <c:numRef>
              <c:f>WEO!$D$37:$D$40</c:f>
              <c:numCache>
                <c:formatCode>General</c:formatCode>
                <c:ptCount val="4"/>
                <c:pt idx="0">
                  <c:v>7606</c:v>
                </c:pt>
                <c:pt idx="1">
                  <c:v>4915</c:v>
                </c:pt>
                <c:pt idx="2">
                  <c:v>6426</c:v>
                </c:pt>
                <c:pt idx="3">
                  <c:v>2254</c:v>
                </c:pt>
              </c:numCache>
            </c:numRef>
          </c:val>
        </c:ser>
        <c:ser>
          <c:idx val="3"/>
          <c:order val="3"/>
          <c:tx>
            <c:strRef>
              <c:f>WEO!$E$35:$E$36</c:f>
              <c:strCache>
                <c:ptCount val="1"/>
                <c:pt idx="0">
                  <c:v>Projection for 2020: World Energy Outlook 2002 - Ref scenario</c:v>
                </c:pt>
              </c:strCache>
            </c:strRef>
          </c:tx>
          <c:invertIfNegative val="0"/>
          <c:cat>
            <c:strRef>
              <c:f>WEO!$A$37:$A$40</c:f>
              <c:strCache>
                <c:ptCount val="4"/>
                <c:pt idx="0">
                  <c:v>OECD North America</c:v>
                </c:pt>
                <c:pt idx="1">
                  <c:v>OECD Europe</c:v>
                </c:pt>
                <c:pt idx="2">
                  <c:v>China</c:v>
                </c:pt>
                <c:pt idx="3">
                  <c:v>India</c:v>
                </c:pt>
              </c:strCache>
            </c:strRef>
          </c:cat>
          <c:val>
            <c:numRef>
              <c:f>WEO!$E$37:$E$40</c:f>
              <c:numCache>
                <c:formatCode>General</c:formatCode>
                <c:ptCount val="4"/>
                <c:pt idx="0">
                  <c:v>8258</c:v>
                </c:pt>
                <c:pt idx="1">
                  <c:v>4573</c:v>
                </c:pt>
                <c:pt idx="2">
                  <c:v>5393</c:v>
                </c:pt>
                <c:pt idx="3">
                  <c:v>1726</c:v>
                </c:pt>
              </c:numCache>
            </c:numRef>
          </c:val>
        </c:ser>
        <c:dLbls>
          <c:showLegendKey val="0"/>
          <c:showVal val="0"/>
          <c:showCatName val="0"/>
          <c:showSerName val="0"/>
          <c:showPercent val="0"/>
          <c:showBubbleSize val="0"/>
        </c:dLbls>
        <c:gapWidth val="75"/>
        <c:overlap val="-25"/>
        <c:axId val="252744448"/>
        <c:axId val="252746368"/>
      </c:barChart>
      <c:lineChart>
        <c:grouping val="standard"/>
        <c:varyColors val="0"/>
        <c:ser>
          <c:idx val="4"/>
          <c:order val="4"/>
          <c:tx>
            <c:strRef>
              <c:f>WEO!$F$35:$F$36</c:f>
              <c:strCache>
                <c:ptCount val="1"/>
                <c:pt idx="0">
                  <c:v>Actual 2010 emissions</c:v>
                </c:pt>
              </c:strCache>
            </c:strRef>
          </c:tx>
          <c:spPr>
            <a:ln>
              <a:noFill/>
            </a:ln>
          </c:spPr>
          <c:marker>
            <c:symbol val="diamond"/>
            <c:size val="9"/>
            <c:spPr>
              <a:solidFill>
                <a:srgbClr val="FF0000"/>
              </a:solidFill>
            </c:spPr>
          </c:marker>
          <c:cat>
            <c:strRef>
              <c:f>WEO!$A$37:$A$40</c:f>
              <c:strCache>
                <c:ptCount val="4"/>
                <c:pt idx="0">
                  <c:v>OECD North America</c:v>
                </c:pt>
                <c:pt idx="1">
                  <c:v>OECD Europe</c:v>
                </c:pt>
                <c:pt idx="2">
                  <c:v>China</c:v>
                </c:pt>
                <c:pt idx="3">
                  <c:v>India</c:v>
                </c:pt>
              </c:strCache>
            </c:strRef>
          </c:cat>
          <c:val>
            <c:numRef>
              <c:f>WEO!$F$37:$F$40</c:f>
              <c:numCache>
                <c:formatCode>General</c:formatCode>
                <c:ptCount val="4"/>
                <c:pt idx="0">
                  <c:v>6362</c:v>
                </c:pt>
                <c:pt idx="1">
                  <c:v>3873</c:v>
                </c:pt>
                <c:pt idx="2">
                  <c:v>7214</c:v>
                </c:pt>
                <c:pt idx="3">
                  <c:v>1635</c:v>
                </c:pt>
              </c:numCache>
            </c:numRef>
          </c:val>
          <c:smooth val="0"/>
        </c:ser>
        <c:dLbls>
          <c:showLegendKey val="0"/>
          <c:showVal val="0"/>
          <c:showCatName val="0"/>
          <c:showSerName val="0"/>
          <c:showPercent val="0"/>
          <c:showBubbleSize val="0"/>
        </c:dLbls>
        <c:marker val="1"/>
        <c:smooth val="0"/>
        <c:axId val="252744448"/>
        <c:axId val="252746368"/>
      </c:lineChart>
      <c:catAx>
        <c:axId val="252744448"/>
        <c:scaling>
          <c:orientation val="minMax"/>
        </c:scaling>
        <c:delete val="0"/>
        <c:axPos val="b"/>
        <c:majorTickMark val="none"/>
        <c:minorTickMark val="none"/>
        <c:tickLblPos val="nextTo"/>
        <c:crossAx val="252746368"/>
        <c:crosses val="autoZero"/>
        <c:auto val="1"/>
        <c:lblAlgn val="ctr"/>
        <c:lblOffset val="100"/>
        <c:noMultiLvlLbl val="0"/>
      </c:catAx>
      <c:valAx>
        <c:axId val="252746368"/>
        <c:scaling>
          <c:orientation val="minMax"/>
        </c:scaling>
        <c:delete val="0"/>
        <c:axPos val="l"/>
        <c:majorGridlines>
          <c:spPr>
            <a:ln>
              <a:prstDash val="dash"/>
            </a:ln>
          </c:spPr>
        </c:majorGridlines>
        <c:title>
          <c:tx>
            <c:rich>
              <a:bodyPr rot="-5400000" vert="horz"/>
              <a:lstStyle/>
              <a:p>
                <a:pPr>
                  <a:defRPr/>
                </a:pPr>
                <a:r>
                  <a:rPr lang="en-US"/>
                  <a:t>Mt CO2 </a:t>
                </a:r>
              </a:p>
            </c:rich>
          </c:tx>
          <c:overlay val="0"/>
        </c:title>
        <c:numFmt formatCode="General" sourceLinked="1"/>
        <c:majorTickMark val="none"/>
        <c:minorTickMark val="none"/>
        <c:tickLblPos val="nextTo"/>
        <c:spPr>
          <a:ln w="9525">
            <a:noFill/>
          </a:ln>
        </c:spPr>
        <c:crossAx val="252744448"/>
        <c:crosses val="autoZero"/>
        <c:crossBetween val="between"/>
      </c:valAx>
    </c:plotArea>
    <c:legend>
      <c:legendPos val="b"/>
      <c:layout>
        <c:manualLayout>
          <c:xMode val="edge"/>
          <c:yMode val="edge"/>
          <c:x val="5.7709302801621197E-2"/>
          <c:y val="0.72351618744951096"/>
          <c:w val="0.84775956784471695"/>
          <c:h val="0.21729817585382499"/>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Pt>
            <c:idx val="0"/>
            <c:invertIfNegative val="0"/>
            <c:bubble3D val="0"/>
            <c:spPr>
              <a:pattFill prst="dkUpDiag">
                <a:fgClr>
                  <a:schemeClr val="accent1"/>
                </a:fgClr>
                <a:bgClr>
                  <a:schemeClr val="bg1"/>
                </a:bgClr>
              </a:pattFill>
            </c:spPr>
          </c:dPt>
          <c:cat>
            <c:strRef>
              <c:f>'[Classification objectifs nationaux.xlsx]Analysis'!$A$4:$A$7</c:f>
              <c:strCache>
                <c:ptCount val="4"/>
                <c:pt idx="0">
                  <c:v>Total</c:v>
                </c:pt>
                <c:pt idx="1">
                  <c:v>Absolute </c:v>
                </c:pt>
                <c:pt idx="2">
                  <c:v>Relative BAU</c:v>
                </c:pt>
                <c:pt idx="3">
                  <c:v>Relative GDP</c:v>
                </c:pt>
              </c:strCache>
            </c:strRef>
          </c:cat>
          <c:val>
            <c:numRef>
              <c:f>'[Classification objectifs nationaux.xlsx]Analysis'!$C$4:$C$7</c:f>
              <c:numCache>
                <c:formatCode>General</c:formatCode>
                <c:ptCount val="4"/>
                <c:pt idx="0">
                  <c:v>32</c:v>
                </c:pt>
                <c:pt idx="1">
                  <c:v>19</c:v>
                </c:pt>
                <c:pt idx="2">
                  <c:v>8</c:v>
                </c:pt>
                <c:pt idx="3">
                  <c:v>2</c:v>
                </c:pt>
              </c:numCache>
            </c:numRef>
          </c:val>
        </c:ser>
        <c:dLbls>
          <c:showLegendKey val="0"/>
          <c:showVal val="0"/>
          <c:showCatName val="0"/>
          <c:showSerName val="0"/>
          <c:showPercent val="0"/>
          <c:showBubbleSize val="0"/>
        </c:dLbls>
        <c:gapWidth val="150"/>
        <c:overlap val="100"/>
        <c:axId val="244235648"/>
        <c:axId val="254174336"/>
      </c:barChart>
      <c:catAx>
        <c:axId val="244235648"/>
        <c:scaling>
          <c:orientation val="minMax"/>
        </c:scaling>
        <c:delete val="0"/>
        <c:axPos val="b"/>
        <c:majorTickMark val="out"/>
        <c:minorTickMark val="none"/>
        <c:tickLblPos val="nextTo"/>
        <c:crossAx val="254174336"/>
        <c:crosses val="autoZero"/>
        <c:auto val="1"/>
        <c:lblAlgn val="ctr"/>
        <c:lblOffset val="100"/>
        <c:noMultiLvlLbl val="0"/>
      </c:catAx>
      <c:valAx>
        <c:axId val="254174336"/>
        <c:scaling>
          <c:orientation val="minMax"/>
        </c:scaling>
        <c:delete val="0"/>
        <c:axPos val="l"/>
        <c:majorGridlines/>
        <c:numFmt formatCode="General" sourceLinked="1"/>
        <c:majorTickMark val="out"/>
        <c:minorTickMark val="none"/>
        <c:tickLblPos val="nextTo"/>
        <c:crossAx val="24423564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Quantitative targets</c:v>
          </c:tx>
          <c:invertIfNegative val="0"/>
          <c:dPt>
            <c:idx val="0"/>
            <c:invertIfNegative val="0"/>
            <c:bubble3D val="0"/>
            <c:spPr>
              <a:pattFill prst="dkUpDiag">
                <a:fgClr>
                  <a:schemeClr val="accent1"/>
                </a:fgClr>
                <a:bgClr>
                  <a:schemeClr val="bg1"/>
                </a:bgClr>
              </a:pattFill>
            </c:spPr>
          </c:dPt>
          <c:dLbls>
            <c:txPr>
              <a:bodyPr/>
              <a:lstStyle/>
              <a:p>
                <a:pPr>
                  <a:defRPr>
                    <a:solidFill>
                      <a:schemeClr val="accent1">
                        <a:lumMod val="75000"/>
                      </a:schemeClr>
                    </a:solidFill>
                  </a:defRPr>
                </a:pPr>
                <a:endParaRPr lang="fr-FR"/>
              </a:p>
            </c:txPr>
            <c:showLegendKey val="0"/>
            <c:showVal val="1"/>
            <c:showCatName val="0"/>
            <c:showSerName val="0"/>
            <c:showPercent val="0"/>
            <c:showBubbleSize val="0"/>
            <c:showLeaderLines val="0"/>
          </c:dLbls>
          <c:cat>
            <c:strRef>
              <c:f>'[Classification objectifs nationaux.xlsx]Analysis'!$A$18:$A$22</c:f>
              <c:strCache>
                <c:ptCount val="5"/>
                <c:pt idx="0">
                  <c:v>Total</c:v>
                </c:pt>
                <c:pt idx="1">
                  <c:v>Energy supply</c:v>
                </c:pt>
                <c:pt idx="2">
                  <c:v>Energy efficiency</c:v>
                </c:pt>
                <c:pt idx="3">
                  <c:v>Transport</c:v>
                </c:pt>
                <c:pt idx="4">
                  <c:v>Land use</c:v>
                </c:pt>
              </c:strCache>
            </c:strRef>
          </c:cat>
          <c:val>
            <c:numRef>
              <c:f>'[Classification objectifs nationaux.xlsx]Analysis'!$C$11:$C$15</c:f>
              <c:numCache>
                <c:formatCode>General</c:formatCode>
                <c:ptCount val="5"/>
                <c:pt idx="0">
                  <c:v>13</c:v>
                </c:pt>
                <c:pt idx="1">
                  <c:v>8</c:v>
                </c:pt>
                <c:pt idx="2">
                  <c:v>1</c:v>
                </c:pt>
                <c:pt idx="3">
                  <c:v>1</c:v>
                </c:pt>
                <c:pt idx="4">
                  <c:v>12</c:v>
                </c:pt>
              </c:numCache>
            </c:numRef>
          </c:val>
        </c:ser>
        <c:ser>
          <c:idx val="1"/>
          <c:order val="1"/>
          <c:tx>
            <c:v>Qualitative targets</c:v>
          </c:tx>
          <c:invertIfNegative val="0"/>
          <c:dPt>
            <c:idx val="0"/>
            <c:invertIfNegative val="0"/>
            <c:bubble3D val="0"/>
            <c:spPr>
              <a:pattFill prst="ltDnDiag">
                <a:fgClr>
                  <a:schemeClr val="accent2"/>
                </a:fgClr>
                <a:bgClr>
                  <a:schemeClr val="bg1"/>
                </a:bgClr>
              </a:pattFill>
            </c:spPr>
          </c:dPt>
          <c:dLbls>
            <c:txPr>
              <a:bodyPr/>
              <a:lstStyle/>
              <a:p>
                <a:pPr>
                  <a:defRPr>
                    <a:solidFill>
                      <a:schemeClr val="accent2">
                        <a:lumMod val="75000"/>
                      </a:schemeClr>
                    </a:solidFill>
                  </a:defRPr>
                </a:pPr>
                <a:endParaRPr lang="fr-FR"/>
              </a:p>
            </c:txPr>
            <c:showLegendKey val="0"/>
            <c:showVal val="1"/>
            <c:showCatName val="0"/>
            <c:showSerName val="0"/>
            <c:showPercent val="0"/>
            <c:showBubbleSize val="0"/>
            <c:showLeaderLines val="0"/>
          </c:dLbls>
          <c:cat>
            <c:strRef>
              <c:f>'[Classification objectifs nationaux.xlsx]Analysis'!$A$18:$A$22</c:f>
              <c:strCache>
                <c:ptCount val="5"/>
                <c:pt idx="0">
                  <c:v>Total</c:v>
                </c:pt>
                <c:pt idx="1">
                  <c:v>Energy supply</c:v>
                </c:pt>
                <c:pt idx="2">
                  <c:v>Energy efficiency</c:v>
                </c:pt>
                <c:pt idx="3">
                  <c:v>Transport</c:v>
                </c:pt>
                <c:pt idx="4">
                  <c:v>Land use</c:v>
                </c:pt>
              </c:strCache>
            </c:strRef>
          </c:cat>
          <c:val>
            <c:numRef>
              <c:f>'[Classification objectifs nationaux.xlsx]Analysis'!$C$18:$C$22</c:f>
              <c:numCache>
                <c:formatCode>General</c:formatCode>
                <c:ptCount val="5"/>
                <c:pt idx="0">
                  <c:v>33</c:v>
                </c:pt>
                <c:pt idx="1">
                  <c:v>22</c:v>
                </c:pt>
                <c:pt idx="2">
                  <c:v>20</c:v>
                </c:pt>
                <c:pt idx="3">
                  <c:v>12</c:v>
                </c:pt>
                <c:pt idx="4">
                  <c:v>20</c:v>
                </c:pt>
              </c:numCache>
            </c:numRef>
          </c:val>
        </c:ser>
        <c:dLbls>
          <c:showLegendKey val="0"/>
          <c:showVal val="0"/>
          <c:showCatName val="0"/>
          <c:showSerName val="0"/>
          <c:showPercent val="0"/>
          <c:showBubbleSize val="0"/>
        </c:dLbls>
        <c:gapWidth val="150"/>
        <c:axId val="254196352"/>
        <c:axId val="254198144"/>
      </c:barChart>
      <c:catAx>
        <c:axId val="254196352"/>
        <c:scaling>
          <c:orientation val="minMax"/>
        </c:scaling>
        <c:delete val="0"/>
        <c:axPos val="b"/>
        <c:majorTickMark val="out"/>
        <c:minorTickMark val="none"/>
        <c:tickLblPos val="nextTo"/>
        <c:crossAx val="254198144"/>
        <c:crosses val="autoZero"/>
        <c:auto val="1"/>
        <c:lblAlgn val="ctr"/>
        <c:lblOffset val="100"/>
        <c:noMultiLvlLbl val="0"/>
      </c:catAx>
      <c:valAx>
        <c:axId val="254198144"/>
        <c:scaling>
          <c:orientation val="minMax"/>
        </c:scaling>
        <c:delete val="0"/>
        <c:axPos val="l"/>
        <c:majorGridlines/>
        <c:numFmt formatCode="General" sourceLinked="1"/>
        <c:majorTickMark val="out"/>
        <c:minorTickMark val="none"/>
        <c:tickLblPos val="nextTo"/>
        <c:crossAx val="2541963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奥斯汀">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奥斯汀">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奥斯汀">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A6C2-276F-49FC-A457-473F5ACA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7639</Words>
  <Characters>42018</Characters>
  <Application>Microsoft Office Word</Application>
  <DocSecurity>0</DocSecurity>
  <Lines>350</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thomas.spencer</dc:creator>
  <cp:lastModifiedBy>thomas.spencer</cp:lastModifiedBy>
  <cp:revision>3</cp:revision>
  <cp:lastPrinted>2014-05-26T07:47:00Z</cp:lastPrinted>
  <dcterms:created xsi:type="dcterms:W3CDTF">2014-06-02T06:40:00Z</dcterms:created>
  <dcterms:modified xsi:type="dcterms:W3CDTF">2014-06-05T16:23:00Z</dcterms:modified>
</cp:coreProperties>
</file>